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9F63B" w14:textId="77777777" w:rsidR="008437F5" w:rsidRPr="009815E0" w:rsidRDefault="008437F5" w:rsidP="008437F5">
      <w:pPr>
        <w:spacing w:after="120"/>
      </w:pPr>
      <w:r>
        <w:t>Naczyk, Marek</w:t>
      </w:r>
    </w:p>
    <w:p w14:paraId="4C97FBCA" w14:textId="77777777" w:rsidR="008437F5" w:rsidRPr="009815E0" w:rsidRDefault="008437F5" w:rsidP="008437F5">
      <w:pPr>
        <w:spacing w:after="120"/>
        <w:jc w:val="center"/>
        <w:rPr>
          <w:b/>
        </w:rPr>
      </w:pPr>
      <w:r w:rsidRPr="009815E0">
        <w:rPr>
          <w:b/>
        </w:rPr>
        <w:t>Taking back control: Comprador bankers and managerial developmentalism in Poland</w:t>
      </w:r>
    </w:p>
    <w:p w14:paraId="7DA363B9" w14:textId="77777777" w:rsidR="008437F5" w:rsidRPr="009815E0" w:rsidRDefault="008437F5" w:rsidP="008437F5">
      <w:pPr>
        <w:spacing w:after="120"/>
        <w:jc w:val="center"/>
        <w:rPr>
          <w:i/>
        </w:rPr>
      </w:pPr>
      <w:r w:rsidRPr="009815E0">
        <w:rPr>
          <w:i/>
        </w:rPr>
        <w:t>Review of International Political Economy</w:t>
      </w:r>
    </w:p>
    <w:p w14:paraId="0E4345EF" w14:textId="77777777" w:rsidR="002F5166" w:rsidRPr="002F5166" w:rsidRDefault="002F5166" w:rsidP="002F5166"/>
    <w:p w14:paraId="387947F1" w14:textId="77777777" w:rsidR="002A2689" w:rsidRPr="00AF758C" w:rsidRDefault="002A2689" w:rsidP="002A2689">
      <w:pPr>
        <w:pStyle w:val="TOC1"/>
        <w:tabs>
          <w:tab w:val="right" w:leader="dot" w:pos="8630"/>
        </w:tabs>
        <w:jc w:val="center"/>
        <w:rPr>
          <w:u w:val="single"/>
        </w:rPr>
      </w:pPr>
      <w:r w:rsidRPr="00AF758C">
        <w:rPr>
          <w:u w:val="single"/>
        </w:rPr>
        <w:t>APPENDIX A.1.</w:t>
      </w:r>
    </w:p>
    <w:p w14:paraId="1FC9C025" w14:textId="77777777" w:rsidR="002A2689" w:rsidRPr="00AF758C" w:rsidRDefault="002A2689" w:rsidP="002A2689">
      <w:pPr>
        <w:pStyle w:val="TOC1"/>
        <w:tabs>
          <w:tab w:val="right" w:leader="dot" w:pos="8630"/>
        </w:tabs>
        <w:jc w:val="center"/>
        <w:rPr>
          <w:u w:val="single"/>
        </w:rPr>
      </w:pPr>
      <w:r w:rsidRPr="00AF758C">
        <w:rPr>
          <w:u w:val="single"/>
        </w:rPr>
        <w:t>Description of Appendices A.2-A.10</w:t>
      </w:r>
    </w:p>
    <w:p w14:paraId="19DD0BE2" w14:textId="77777777" w:rsidR="000F0BF4" w:rsidRDefault="000F0BF4"/>
    <w:p w14:paraId="42434AE1" w14:textId="77777777" w:rsidR="00E30E9A" w:rsidRDefault="00E30E9A"/>
    <w:p w14:paraId="1D9011AC" w14:textId="7C4A0902" w:rsidR="00A90042" w:rsidRDefault="005D30CC" w:rsidP="00C074B1">
      <w:pPr>
        <w:jc w:val="both"/>
      </w:pPr>
      <w:r>
        <w:t>Given the paper’s relatively controversial claim that comprador bankers have been the driving force behind the revival of developmentalism in Poland since the global financial crisis of 2008, I complement</w:t>
      </w:r>
      <w:r w:rsidR="00DE3451">
        <w:t xml:space="preserve"> its</w:t>
      </w:r>
      <w:r>
        <w:t xml:space="preserve"> main body with an extensive set of online appendices. The aim of those appendices is to </w:t>
      </w:r>
      <w:r w:rsidR="00741BC2">
        <w:t>give</w:t>
      </w:r>
      <w:r w:rsidR="00270C81">
        <w:t>: a)</w:t>
      </w:r>
      <w:r>
        <w:t xml:space="preserve"> </w:t>
      </w:r>
      <w:r w:rsidR="00DE3451">
        <w:t xml:space="preserve">more detailed background </w:t>
      </w:r>
      <w:r>
        <w:t xml:space="preserve">information on </w:t>
      </w:r>
      <w:r w:rsidR="00270C81">
        <w:t>the Polish economy</w:t>
      </w:r>
      <w:r w:rsidR="008E0F1E">
        <w:t xml:space="preserve"> </w:t>
      </w:r>
      <w:r w:rsidR="008E0F1E" w:rsidRPr="008E0F1E">
        <w:rPr>
          <w:i/>
        </w:rPr>
        <w:t>(Appendix A.2)</w:t>
      </w:r>
      <w:r w:rsidR="00270C81">
        <w:t>; b)</w:t>
      </w:r>
      <w:r w:rsidR="00DE3451">
        <w:t xml:space="preserve"> a more precise measurement of key outcom</w:t>
      </w:r>
      <w:r w:rsidR="00270C81">
        <w:t>es to be explained in the paper</w:t>
      </w:r>
      <w:r w:rsidR="008E0F1E">
        <w:t xml:space="preserve"> </w:t>
      </w:r>
      <w:r w:rsidR="008E0F1E" w:rsidRPr="008E0F1E">
        <w:rPr>
          <w:i/>
        </w:rPr>
        <w:t>(Appendix A.3)</w:t>
      </w:r>
      <w:r w:rsidR="00270C81">
        <w:t>; c)</w:t>
      </w:r>
      <w:r w:rsidR="00DE3451">
        <w:t xml:space="preserve"> a description of the paper’s methodological </w:t>
      </w:r>
      <w:r w:rsidR="00270C81">
        <w:t xml:space="preserve">(data analysis and data collection) </w:t>
      </w:r>
      <w:r w:rsidR="00DE3451">
        <w:t xml:space="preserve">approach </w:t>
      </w:r>
      <w:r w:rsidR="00270C81">
        <w:t>based on process tracing</w:t>
      </w:r>
      <w:r w:rsidR="008E0F1E">
        <w:t xml:space="preserve"> </w:t>
      </w:r>
      <w:r w:rsidR="008E0F1E" w:rsidRPr="008E0F1E">
        <w:rPr>
          <w:i/>
        </w:rPr>
        <w:t>(Appendices A.4 and A.5)</w:t>
      </w:r>
      <w:r w:rsidR="00270C81">
        <w:t xml:space="preserve">; </w:t>
      </w:r>
      <w:r w:rsidR="00DE3451">
        <w:t xml:space="preserve">and </w:t>
      </w:r>
      <w:r w:rsidR="00270C81">
        <w:t xml:space="preserve">d) </w:t>
      </w:r>
      <w:r w:rsidR="00D204F4">
        <w:t xml:space="preserve">the reader access to </w:t>
      </w:r>
      <w:r w:rsidR="002F0778">
        <w:t>a relatively large sample</w:t>
      </w:r>
      <w:r w:rsidR="00D204F4">
        <w:t xml:space="preserve"> of the documents and interview excerpts that constitute my process tracing evidence</w:t>
      </w:r>
      <w:r w:rsidR="002F0778">
        <w:t xml:space="preserve"> and to be transparent about </w:t>
      </w:r>
      <w:r w:rsidR="00741BC2">
        <w:t xml:space="preserve">how I </w:t>
      </w:r>
      <w:r w:rsidR="002F0778">
        <w:t>use them to draw inferences on the relative strength of alternative explanations of the outcome I seek to explain</w:t>
      </w:r>
      <w:r w:rsidR="008E0F1E">
        <w:t xml:space="preserve"> </w:t>
      </w:r>
      <w:r w:rsidR="008E0F1E" w:rsidRPr="008E0F1E">
        <w:rPr>
          <w:i/>
        </w:rPr>
        <w:t>(Appendices A.6-A.9)</w:t>
      </w:r>
      <w:r w:rsidR="00D204F4">
        <w:t xml:space="preserve">. </w:t>
      </w:r>
    </w:p>
    <w:p w14:paraId="3B02A371" w14:textId="77777777" w:rsidR="00A90042" w:rsidRDefault="00A90042" w:rsidP="00C074B1">
      <w:pPr>
        <w:jc w:val="both"/>
      </w:pPr>
    </w:p>
    <w:p w14:paraId="06F05554" w14:textId="50599E52" w:rsidR="00E30E9A" w:rsidRDefault="00D204F4" w:rsidP="00C074B1">
      <w:pPr>
        <w:jc w:val="both"/>
      </w:pPr>
      <w:r w:rsidRPr="00D204F4">
        <w:rPr>
          <w:b/>
        </w:rPr>
        <w:t>Appendix A.2</w:t>
      </w:r>
      <w:r w:rsidR="00B278BB">
        <w:rPr>
          <w:b/>
        </w:rPr>
        <w:t xml:space="preserve"> </w:t>
      </w:r>
      <w:r w:rsidR="00E85D1E">
        <w:t>present</w:t>
      </w:r>
      <w:r>
        <w:t xml:space="preserve">s a number of economic indicators that help understand </w:t>
      </w:r>
      <w:r w:rsidR="0024170C">
        <w:t xml:space="preserve">the </w:t>
      </w:r>
      <w:r>
        <w:t xml:space="preserve">socio-economic </w:t>
      </w:r>
      <w:r w:rsidRPr="000B5EE5">
        <w:rPr>
          <w:b/>
        </w:rPr>
        <w:t>structure</w:t>
      </w:r>
      <w:r w:rsidR="000B5EE5" w:rsidRPr="000B5EE5">
        <w:rPr>
          <w:b/>
        </w:rPr>
        <w:t xml:space="preserve"> and context</w:t>
      </w:r>
      <w:r w:rsidRPr="000B5EE5">
        <w:rPr>
          <w:b/>
        </w:rPr>
        <w:t xml:space="preserve"> of</w:t>
      </w:r>
      <w:r w:rsidR="0024170C" w:rsidRPr="000B5EE5">
        <w:rPr>
          <w:b/>
        </w:rPr>
        <w:t xml:space="preserve"> the Polish “dependent market economy”</w:t>
      </w:r>
      <w:r w:rsidR="00FE4E55">
        <w:t xml:space="preserve"> and its similarities and differences with other Visegr</w:t>
      </w:r>
      <w:r w:rsidR="00FE4E55">
        <w:rPr>
          <w:rFonts w:ascii="Cambria" w:hAnsi="Cambria"/>
        </w:rPr>
        <w:t>ád</w:t>
      </w:r>
      <w:r w:rsidR="00E85D1E">
        <w:rPr>
          <w:rFonts w:ascii="Cambria" w:hAnsi="Cambria"/>
        </w:rPr>
        <w:t>-4 (V-4)</w:t>
      </w:r>
      <w:r w:rsidR="00FE4E55">
        <w:rPr>
          <w:rFonts w:ascii="Cambria" w:hAnsi="Cambria"/>
        </w:rPr>
        <w:t xml:space="preserve"> countries (Czech</w:t>
      </w:r>
      <w:r w:rsidR="00E85D1E">
        <w:rPr>
          <w:rFonts w:ascii="Cambria" w:hAnsi="Cambria"/>
        </w:rPr>
        <w:t>ia</w:t>
      </w:r>
      <w:r w:rsidR="00FE4E55">
        <w:rPr>
          <w:rFonts w:ascii="Cambria" w:hAnsi="Cambria"/>
        </w:rPr>
        <w:t>, Hungary and Slovakia) and other EU (or ex-EU) countries of similar</w:t>
      </w:r>
      <w:r w:rsidR="00B278BB">
        <w:rPr>
          <w:rFonts w:ascii="Cambria" w:hAnsi="Cambria"/>
        </w:rPr>
        <w:t xml:space="preserve"> size (France, Germany, Italy, Romania, Spain and the United Kingdom). </w:t>
      </w:r>
      <w:r w:rsidR="00B278BB">
        <w:t xml:space="preserve">Data on the </w:t>
      </w:r>
      <w:r w:rsidR="00B278BB" w:rsidRPr="00906C8C">
        <w:rPr>
          <w:b/>
        </w:rPr>
        <w:t>sectoral comp</w:t>
      </w:r>
      <w:r w:rsidR="00D54EBB" w:rsidRPr="00906C8C">
        <w:rPr>
          <w:b/>
        </w:rPr>
        <w:t>osition of those economies</w:t>
      </w:r>
      <w:r w:rsidR="00D54EBB">
        <w:t xml:space="preserve"> show that,</w:t>
      </w:r>
      <w:r w:rsidR="00B278BB">
        <w:t xml:space="preserve"> like other </w:t>
      </w:r>
      <w:r w:rsidR="00E85D1E">
        <w:t>V-4</w:t>
      </w:r>
      <w:r w:rsidR="00D54EBB">
        <w:t xml:space="preserve"> countries and </w:t>
      </w:r>
      <w:r w:rsidR="00B278BB">
        <w:t>Romania</w:t>
      </w:r>
      <w:r w:rsidR="00D54EBB">
        <w:t>,</w:t>
      </w:r>
      <w:r w:rsidR="00B278BB">
        <w:t xml:space="preserve"> Poland has </w:t>
      </w:r>
      <w:r w:rsidR="00D54EBB">
        <w:t xml:space="preserve">a </w:t>
      </w:r>
      <w:r w:rsidR="00B278BB">
        <w:t xml:space="preserve">much higher share of its value added generated by industry – and lower share of services – than </w:t>
      </w:r>
      <w:r w:rsidR="00D54EBB">
        <w:t xml:space="preserve">most </w:t>
      </w:r>
      <w:r w:rsidR="00B278BB">
        <w:t>West European countries</w:t>
      </w:r>
      <w:r w:rsidR="00D54EBB">
        <w:t xml:space="preserve"> (except for Germany) although, in comparison with other Visegr</w:t>
      </w:r>
      <w:r w:rsidR="00D54EBB">
        <w:rPr>
          <w:rFonts w:ascii="Cambria" w:hAnsi="Cambria"/>
        </w:rPr>
        <w:t xml:space="preserve">ád countries, Poland’s economy is somewhat more </w:t>
      </w:r>
      <w:r w:rsidR="006C142C">
        <w:rPr>
          <w:rFonts w:ascii="Cambria" w:hAnsi="Cambria"/>
        </w:rPr>
        <w:t xml:space="preserve">dependent on commodities such as mining products (coal and copper), energy commodities (electricity, gas and oil) and agricultural products. </w:t>
      </w:r>
      <w:r w:rsidR="007B6AF1">
        <w:rPr>
          <w:rFonts w:ascii="Cambria" w:hAnsi="Cambria"/>
        </w:rPr>
        <w:t xml:space="preserve">Data on </w:t>
      </w:r>
      <w:r w:rsidR="007B6AF1" w:rsidRPr="00906C8C">
        <w:rPr>
          <w:rFonts w:ascii="Cambria" w:hAnsi="Cambria"/>
          <w:b/>
        </w:rPr>
        <w:t>foreign control of enterprises</w:t>
      </w:r>
      <w:r w:rsidR="00E85D1E">
        <w:rPr>
          <w:rFonts w:ascii="Cambria" w:hAnsi="Cambria"/>
        </w:rPr>
        <w:t xml:space="preserve"> show</w:t>
      </w:r>
      <w:r w:rsidR="007B6AF1">
        <w:rPr>
          <w:rFonts w:ascii="Cambria" w:hAnsi="Cambria"/>
        </w:rPr>
        <w:t xml:space="preserve"> that, among the V-4 countries and Romania, Poland has been the least “dependent” on foreign capital (particularly in commodities such as mining and electricity and gas supply) even though</w:t>
      </w:r>
      <w:r w:rsidR="00E85D1E">
        <w:rPr>
          <w:rFonts w:ascii="Cambria" w:hAnsi="Cambria"/>
        </w:rPr>
        <w:t xml:space="preserve"> that dependence has increased between 2008 and 2016 and</w:t>
      </w:r>
      <w:r w:rsidR="007B6AF1">
        <w:rPr>
          <w:rFonts w:ascii="Cambria" w:hAnsi="Cambria"/>
        </w:rPr>
        <w:t xml:space="preserve"> differences with West European countries are </w:t>
      </w:r>
      <w:r w:rsidR="00E85D1E">
        <w:rPr>
          <w:rFonts w:ascii="Cambria" w:hAnsi="Cambria"/>
        </w:rPr>
        <w:t xml:space="preserve">very </w:t>
      </w:r>
      <w:r w:rsidR="007B6AF1">
        <w:rPr>
          <w:rFonts w:ascii="Cambria" w:hAnsi="Cambria"/>
        </w:rPr>
        <w:t>striking. Foreign-owned firms generate almost half of employment and revenues in so-called “large</w:t>
      </w:r>
      <w:r w:rsidR="00E85D1E">
        <w:rPr>
          <w:rFonts w:ascii="Cambria" w:hAnsi="Cambria"/>
        </w:rPr>
        <w:t>”</w:t>
      </w:r>
      <w:r w:rsidR="007B6AF1">
        <w:rPr>
          <w:rFonts w:ascii="Cambria" w:hAnsi="Cambria"/>
        </w:rPr>
        <w:t xml:space="preserve"> firms (firms with more than 250 employees according the definition used by Poland’s official statistical office). </w:t>
      </w:r>
      <w:r w:rsidR="00F81C74">
        <w:rPr>
          <w:rFonts w:ascii="Cambria" w:hAnsi="Cambria"/>
        </w:rPr>
        <w:t xml:space="preserve">Data on Poland’s 100 firms (excluding financial services providers) confirm that, apart from </w:t>
      </w:r>
      <w:r w:rsidR="00F81C74" w:rsidRPr="00F71B6F">
        <w:rPr>
          <w:rFonts w:ascii="Cambria" w:hAnsi="Cambria"/>
          <w:b/>
        </w:rPr>
        <w:t>large state-owned</w:t>
      </w:r>
      <w:r w:rsidR="00F81C74">
        <w:rPr>
          <w:rFonts w:ascii="Cambria" w:hAnsi="Cambria"/>
        </w:rPr>
        <w:t xml:space="preserve"> utility </w:t>
      </w:r>
      <w:r w:rsidR="00F81C74" w:rsidRPr="00F71B6F">
        <w:rPr>
          <w:rFonts w:ascii="Cambria" w:hAnsi="Cambria"/>
          <w:b/>
        </w:rPr>
        <w:t>firms</w:t>
      </w:r>
      <w:r w:rsidR="00E85D1E">
        <w:rPr>
          <w:rFonts w:ascii="Cambria" w:hAnsi="Cambria"/>
        </w:rPr>
        <w:t xml:space="preserve"> (which play a relatively more important role in the Polish economy than in other V-4 and large EU countries)</w:t>
      </w:r>
      <w:r w:rsidR="00F81C74">
        <w:rPr>
          <w:rFonts w:ascii="Cambria" w:hAnsi="Cambria"/>
        </w:rPr>
        <w:t xml:space="preserve">, the largest – and </w:t>
      </w:r>
      <w:r w:rsidR="00F81C74">
        <w:rPr>
          <w:rFonts w:ascii="Cambria" w:hAnsi="Cambria"/>
        </w:rPr>
        <w:lastRenderedPageBreak/>
        <w:t xml:space="preserve">technologically most advanced firms – are typically foreign-owned while domestically owned private firms are relatively rare in that </w:t>
      </w:r>
      <w:r w:rsidR="00906C8C">
        <w:rPr>
          <w:rFonts w:ascii="Cambria" w:hAnsi="Cambria"/>
        </w:rPr>
        <w:t>list</w:t>
      </w:r>
      <w:r w:rsidR="0061349A">
        <w:rPr>
          <w:rFonts w:ascii="Cambria" w:hAnsi="Cambria"/>
        </w:rPr>
        <w:t>.</w:t>
      </w:r>
    </w:p>
    <w:p w14:paraId="516F44B1" w14:textId="77777777" w:rsidR="00BF59D0" w:rsidRDefault="00BF59D0" w:rsidP="00C074B1">
      <w:pPr>
        <w:jc w:val="both"/>
      </w:pPr>
    </w:p>
    <w:p w14:paraId="2DC10119" w14:textId="78C02DB4" w:rsidR="00081706" w:rsidRDefault="00D204F4" w:rsidP="00C074B1">
      <w:pPr>
        <w:jc w:val="both"/>
      </w:pPr>
      <w:r w:rsidRPr="00D204F4">
        <w:rPr>
          <w:b/>
        </w:rPr>
        <w:t xml:space="preserve">Appendix </w:t>
      </w:r>
      <w:r w:rsidR="00BF59D0" w:rsidRPr="00D204F4">
        <w:rPr>
          <w:b/>
        </w:rPr>
        <w:t>A.3</w:t>
      </w:r>
      <w:r w:rsidR="00BF59D0">
        <w:t xml:space="preserve"> focuses on the three specific </w:t>
      </w:r>
      <w:r w:rsidR="00BF59D0" w:rsidRPr="000B5EE5">
        <w:rPr>
          <w:b/>
        </w:rPr>
        <w:t>outcomes</w:t>
      </w:r>
      <w:r w:rsidR="00BF59D0">
        <w:t xml:space="preserve"> </w:t>
      </w:r>
      <w:r w:rsidR="000B5EE5">
        <w:t>(“dependent variable</w:t>
      </w:r>
      <w:r w:rsidR="0061349A">
        <w:t>s</w:t>
      </w:r>
      <w:r w:rsidR="000B5EE5">
        <w:t xml:space="preserve">”) </w:t>
      </w:r>
      <w:r w:rsidR="00BF59D0">
        <w:t>the paper seeks to explain</w:t>
      </w:r>
      <w:r w:rsidR="000B5EE5">
        <w:t>.</w:t>
      </w:r>
      <w:r w:rsidR="00AA62F7">
        <w:t xml:space="preserve"> </w:t>
      </w:r>
      <w:r w:rsidR="000B5EE5">
        <w:t xml:space="preserve">A first section provides data on the </w:t>
      </w:r>
      <w:r w:rsidR="00BF59D0" w:rsidRPr="00B3211A">
        <w:rPr>
          <w:b/>
        </w:rPr>
        <w:t>repolonization of the banking sector</w:t>
      </w:r>
      <w:r w:rsidR="00AA62F7">
        <w:t>. The Polish Financial Supervision Authority’s data on domestic vs. foreign over Polish banking asset show a</w:t>
      </w:r>
      <w:r w:rsidR="00BF59D0">
        <w:t xml:space="preserve"> clear trend</w:t>
      </w:r>
      <w:r w:rsidR="00AA62F7">
        <w:t xml:space="preserve"> toward “repolonization”</w:t>
      </w:r>
      <w:r w:rsidR="00BF59D0">
        <w:t xml:space="preserve"> since 2008</w:t>
      </w:r>
      <w:r w:rsidR="00AA62F7">
        <w:t xml:space="preserve"> – away from a </w:t>
      </w:r>
      <w:r w:rsidR="00BF59D0">
        <w:t>peak of 72% of banking asset</w:t>
      </w:r>
      <w:r w:rsidR="00AA62F7">
        <w:t>s controlled by foreign capital in 2008 towards a peak of 55% of these assets controlled by domestic investors in 2017</w:t>
      </w:r>
      <w:r w:rsidR="00C660B7">
        <w:t>.</w:t>
      </w:r>
      <w:r w:rsidR="00AA62F7">
        <w:t xml:space="preserve"> In comparison with Hungarian efforts to </w:t>
      </w:r>
      <w:r w:rsidR="009162E1">
        <w:t>“</w:t>
      </w:r>
      <w:r w:rsidR="00AA62F7">
        <w:t>re</w:t>
      </w:r>
      <w:r w:rsidR="009162E1">
        <w:t>magyariz</w:t>
      </w:r>
      <w:r w:rsidR="00AA62F7">
        <w:t>e</w:t>
      </w:r>
      <w:r w:rsidR="009162E1">
        <w:t>”</w:t>
      </w:r>
      <w:r w:rsidR="00AA62F7">
        <w:t xml:space="preserve"> banking, Poland </w:t>
      </w:r>
      <w:r w:rsidR="009162E1">
        <w:t>stands out for having kept – indirect – state control of repolonized banks whereas remagyarized banks are typically sold back to Hungarian private (crony capitalist) investors.</w:t>
      </w:r>
      <w:r w:rsidR="00903A8F">
        <w:t xml:space="preserve"> A s</w:t>
      </w:r>
      <w:r w:rsidR="00C660B7">
        <w:t xml:space="preserve">econd section focuses on the </w:t>
      </w:r>
      <w:r w:rsidR="00C660B7" w:rsidRPr="00903A8F">
        <w:rPr>
          <w:b/>
        </w:rPr>
        <w:t>reform of Polish development institutions</w:t>
      </w:r>
      <w:r w:rsidR="00C660B7">
        <w:t>. It first provides a synoptic view of the institutions that were integrated into the Polish Development</w:t>
      </w:r>
      <w:r w:rsidR="00D212D9">
        <w:t xml:space="preserve"> Fund (PFR)</w:t>
      </w:r>
      <w:r w:rsidR="00C660B7">
        <w:t xml:space="preserve"> Group in 2016 and shows that</w:t>
      </w:r>
      <w:r w:rsidR="00D212D9">
        <w:t xml:space="preserve"> </w:t>
      </w:r>
      <w:r w:rsidR="00C660B7">
        <w:t>the</w:t>
      </w:r>
      <w:r w:rsidR="00D212D9">
        <w:t xml:space="preserve"> heavy representation of business in the governance of the PFR’s immediate predecessor – PIR – was very unusual in a European context. Data on the assets of </w:t>
      </w:r>
      <w:r w:rsidR="002A0DD8">
        <w:t xml:space="preserve">V-4 </w:t>
      </w:r>
      <w:r w:rsidR="00D212D9">
        <w:t xml:space="preserve">national development banks </w:t>
      </w:r>
      <w:r w:rsidR="002A0DD8">
        <w:t>as a percentage</w:t>
      </w:r>
      <w:r w:rsidR="00081706">
        <w:t xml:space="preserve"> of GDP</w:t>
      </w:r>
      <w:r w:rsidR="00D212D9">
        <w:t xml:space="preserve"> show that the </w:t>
      </w:r>
      <w:r w:rsidR="00081706">
        <w:t xml:space="preserve">Poland’s BGK has been the only development bank in the </w:t>
      </w:r>
      <w:r w:rsidR="002A0DD8">
        <w:t>V-4 group</w:t>
      </w:r>
      <w:r w:rsidR="00081706">
        <w:t xml:space="preserve"> that has bucked a trend towards a decrease </w:t>
      </w:r>
      <w:r w:rsidR="00E21DD8">
        <w:t>in</w:t>
      </w:r>
      <w:r w:rsidR="00081706">
        <w:t xml:space="preserve"> the importance of these banks since the 2010s and</w:t>
      </w:r>
      <w:r w:rsidR="002A0DD8">
        <w:t xml:space="preserve"> that</w:t>
      </w:r>
      <w:r w:rsidR="00081706">
        <w:t xml:space="preserve"> has</w:t>
      </w:r>
      <w:r w:rsidR="002A0DD8">
        <w:t>, in fact,</w:t>
      </w:r>
      <w:r w:rsidR="00081706">
        <w:t xml:space="preserve"> seen its assets increase</w:t>
      </w:r>
      <w:r w:rsidR="00E21DD8">
        <w:t xml:space="preserve"> steadily</w:t>
      </w:r>
      <w:r w:rsidR="00081706">
        <w:t>.</w:t>
      </w:r>
      <w:r w:rsidR="00903A8F">
        <w:t xml:space="preserve"> The</w:t>
      </w:r>
      <w:r w:rsidR="00081706">
        <w:t xml:space="preserve"> </w:t>
      </w:r>
      <w:r w:rsidR="00903A8F">
        <w:t xml:space="preserve">last </w:t>
      </w:r>
      <w:r w:rsidR="00081706">
        <w:t>section</w:t>
      </w:r>
      <w:r w:rsidR="002A0DD8">
        <w:t xml:space="preserve"> of appendix A.3</w:t>
      </w:r>
      <w:r w:rsidR="00081706">
        <w:t xml:space="preserve"> provides a short description of the </w:t>
      </w:r>
      <w:r w:rsidR="00903A8F">
        <w:t>“</w:t>
      </w:r>
      <w:r w:rsidR="00081706">
        <w:t>flagship</w:t>
      </w:r>
      <w:r w:rsidR="00903A8F">
        <w:t xml:space="preserve">” </w:t>
      </w:r>
      <w:r w:rsidR="00903A8F" w:rsidRPr="00903A8F">
        <w:rPr>
          <w:b/>
        </w:rPr>
        <w:t>industrial policy</w:t>
      </w:r>
      <w:r w:rsidR="00081706">
        <w:t xml:space="preserve"> projects that were defined in the 2017 Strategy for Responsible Development.</w:t>
      </w:r>
    </w:p>
    <w:p w14:paraId="2E307A7A" w14:textId="77777777" w:rsidR="000305E1" w:rsidRDefault="000305E1" w:rsidP="00C074B1">
      <w:pPr>
        <w:jc w:val="both"/>
      </w:pPr>
    </w:p>
    <w:p w14:paraId="14D7700B" w14:textId="03780459" w:rsidR="000305E1" w:rsidRDefault="003C5D92" w:rsidP="00C074B1">
      <w:pPr>
        <w:jc w:val="both"/>
      </w:pPr>
      <w:r w:rsidRPr="003C5D92">
        <w:rPr>
          <w:b/>
        </w:rPr>
        <w:t xml:space="preserve">Appendix </w:t>
      </w:r>
      <w:r w:rsidR="000305E1" w:rsidRPr="003C5D92">
        <w:rPr>
          <w:b/>
        </w:rPr>
        <w:t>A.4</w:t>
      </w:r>
      <w:r w:rsidR="000305E1">
        <w:t xml:space="preserve"> explains the paper’s </w:t>
      </w:r>
      <w:r w:rsidR="00876D8C">
        <w:t xml:space="preserve">use of the </w:t>
      </w:r>
      <w:r w:rsidR="005D30CC" w:rsidRPr="0023676B">
        <w:rPr>
          <w:b/>
        </w:rPr>
        <w:t>method</w:t>
      </w:r>
      <w:r w:rsidR="000305E1" w:rsidRPr="0023676B">
        <w:rPr>
          <w:b/>
        </w:rPr>
        <w:t xml:space="preserve"> of process tracing</w:t>
      </w:r>
      <w:r w:rsidR="00876D8C">
        <w:t>. It briefly explains the Bayesian epistemology that underpins this method</w:t>
      </w:r>
      <w:r w:rsidR="005F42B2">
        <w:t xml:space="preserve"> and so-called “process-tracing tests” that have been developed in order to </w:t>
      </w:r>
      <w:r w:rsidR="006976FB">
        <w:t>assess the strength of evidence on different hypotheses</w:t>
      </w:r>
      <w:r w:rsidR="005F42B2">
        <w:t>. In that appendix, I</w:t>
      </w:r>
      <w:r w:rsidR="00876D8C">
        <w:t xml:space="preserve"> </w:t>
      </w:r>
      <w:r w:rsidR="005F42B2">
        <w:t>report my own “priors”</w:t>
      </w:r>
      <w:r w:rsidR="006976FB">
        <w:t xml:space="preserve"> (initial belief</w:t>
      </w:r>
      <w:r w:rsidR="00007134">
        <w:t>s before evidence was collected</w:t>
      </w:r>
      <w:r w:rsidR="006976FB">
        <w:t>)</w:t>
      </w:r>
      <w:r w:rsidR="005F42B2">
        <w:t xml:space="preserve"> </w:t>
      </w:r>
      <w:r w:rsidR="00007134">
        <w:t>on</w:t>
      </w:r>
      <w:r w:rsidR="006976FB">
        <w:t xml:space="preserve"> the plausibility </w:t>
      </w:r>
      <w:r w:rsidR="00007134">
        <w:t>of</w:t>
      </w:r>
      <w:r w:rsidR="006976FB">
        <w:t xml:space="preserve"> each hypothesis considered in the paper and in the appendices. I then present </w:t>
      </w:r>
      <w:r w:rsidR="006976FB" w:rsidRPr="0023676B">
        <w:rPr>
          <w:b/>
        </w:rPr>
        <w:t>two “hoop tests” (the “guilty mind” and “guilty act” tests</w:t>
      </w:r>
      <w:r w:rsidR="006976FB">
        <w:t xml:space="preserve"> inspired by criminal law theory in common law countries) that I have developed in order to eliminate implausible “suspects” in </w:t>
      </w:r>
      <w:r w:rsidR="00007134">
        <w:t xml:space="preserve">the </w:t>
      </w:r>
      <w:r w:rsidR="006976FB">
        <w:t>co-opt</w:t>
      </w:r>
      <w:r w:rsidR="00007134">
        <w:t>ion</w:t>
      </w:r>
      <w:r w:rsidR="006976FB">
        <w:t xml:space="preserve"> or coerci</w:t>
      </w:r>
      <w:r w:rsidR="00007134">
        <w:t>on of</w:t>
      </w:r>
      <w:r w:rsidR="006976FB">
        <w:t xml:space="preserve"> other actors into (or, together with other actors, </w:t>
      </w:r>
      <w:r w:rsidR="00C9577A">
        <w:t>in experiencing</w:t>
      </w:r>
      <w:r w:rsidR="006976FB">
        <w:t xml:space="preserve"> a co-occurrence of engagement in political activities in favor of) a revival of developmentalism. Finally, </w:t>
      </w:r>
      <w:r w:rsidR="00CD5DE9">
        <w:t>I explain my approach to identifying a potential driving force that co-opts or coerces other actors into action.</w:t>
      </w:r>
    </w:p>
    <w:p w14:paraId="4794BB64" w14:textId="77777777" w:rsidR="00D85193" w:rsidRDefault="00D85193" w:rsidP="00C074B1">
      <w:pPr>
        <w:jc w:val="both"/>
      </w:pPr>
    </w:p>
    <w:p w14:paraId="2FE5BFB3" w14:textId="7CC3A3DE" w:rsidR="00D85193" w:rsidRDefault="003C5D92" w:rsidP="00C074B1">
      <w:pPr>
        <w:jc w:val="both"/>
      </w:pPr>
      <w:r w:rsidRPr="003C5D92">
        <w:rPr>
          <w:b/>
        </w:rPr>
        <w:t xml:space="preserve">Appendix </w:t>
      </w:r>
      <w:r w:rsidR="00D85193" w:rsidRPr="003C5D92">
        <w:rPr>
          <w:b/>
        </w:rPr>
        <w:t>A.5</w:t>
      </w:r>
      <w:r w:rsidR="00D85193">
        <w:t xml:space="preserve"> describes </w:t>
      </w:r>
      <w:r w:rsidR="00592AD6">
        <w:t xml:space="preserve">my iterative </w:t>
      </w:r>
      <w:r w:rsidR="00592AD6" w:rsidRPr="0023676B">
        <w:rPr>
          <w:b/>
        </w:rPr>
        <w:t>approach</w:t>
      </w:r>
      <w:r w:rsidR="00D85193" w:rsidRPr="0023676B">
        <w:rPr>
          <w:b/>
        </w:rPr>
        <w:t xml:space="preserve"> </w:t>
      </w:r>
      <w:r w:rsidR="00592AD6" w:rsidRPr="0023676B">
        <w:rPr>
          <w:b/>
        </w:rPr>
        <w:t>to collective evidence</w:t>
      </w:r>
      <w:r w:rsidR="0023676B">
        <w:t xml:space="preserve"> and my attempt to follow “best practices” in conducting </w:t>
      </w:r>
      <w:r w:rsidR="00702520">
        <w:t xml:space="preserve">data collection for </w:t>
      </w:r>
      <w:r w:rsidR="0023676B">
        <w:t>process tracing (Bennett &amp; Checkel, 2015)</w:t>
      </w:r>
      <w:r w:rsidR="00592AD6">
        <w:t xml:space="preserve">. It provides a </w:t>
      </w:r>
      <w:r w:rsidR="00592AD6" w:rsidRPr="0023676B">
        <w:rPr>
          <w:b/>
        </w:rPr>
        <w:t xml:space="preserve">list </w:t>
      </w:r>
      <w:r w:rsidR="00577A15" w:rsidRPr="0023676B">
        <w:rPr>
          <w:b/>
        </w:rPr>
        <w:t>of the interviews</w:t>
      </w:r>
      <w:r w:rsidR="00577A15">
        <w:t xml:space="preserve"> I have conducted. It also includes </w:t>
      </w:r>
      <w:r w:rsidR="00577A15" w:rsidRPr="0023676B">
        <w:rPr>
          <w:b/>
        </w:rPr>
        <w:t>biographical data</w:t>
      </w:r>
      <w:r w:rsidR="00577A15">
        <w:t xml:space="preserve"> on some of the bankers and managers involved in the processes I describe.</w:t>
      </w:r>
    </w:p>
    <w:p w14:paraId="13CDE89F" w14:textId="77777777" w:rsidR="00D85193" w:rsidRDefault="00D85193" w:rsidP="00C074B1">
      <w:pPr>
        <w:jc w:val="both"/>
      </w:pPr>
    </w:p>
    <w:p w14:paraId="7F872136" w14:textId="15CA0976" w:rsidR="00577A15" w:rsidRDefault="00577A15" w:rsidP="00C074B1">
      <w:pPr>
        <w:jc w:val="both"/>
      </w:pPr>
      <w:r w:rsidRPr="00577A15">
        <w:rPr>
          <w:b/>
        </w:rPr>
        <w:t>Appendices A.6</w:t>
      </w:r>
      <w:r w:rsidR="008F5EB7">
        <w:rPr>
          <w:b/>
        </w:rPr>
        <w:t xml:space="preserve"> to </w:t>
      </w:r>
      <w:r>
        <w:rPr>
          <w:b/>
        </w:rPr>
        <w:t>A.9</w:t>
      </w:r>
      <w:r w:rsidRPr="00577A15">
        <w:rPr>
          <w:b/>
        </w:rPr>
        <w:t xml:space="preserve"> </w:t>
      </w:r>
      <w:r>
        <w:t xml:space="preserve">provide access to some of the </w:t>
      </w:r>
      <w:r w:rsidRPr="0023676B">
        <w:rPr>
          <w:b/>
        </w:rPr>
        <w:t>source material</w:t>
      </w:r>
      <w:r>
        <w:t xml:space="preserve"> (</w:t>
      </w:r>
      <w:r w:rsidR="00F03C30">
        <w:t>e.g.</w:t>
      </w:r>
      <w:r>
        <w:t xml:space="preserve"> excerpts of newspaper articles, of policy documents</w:t>
      </w:r>
      <w:r w:rsidR="00F03C30">
        <w:t xml:space="preserve">, of minutes of the meetings of parliamentary committees, of speeches made at conferences, </w:t>
      </w:r>
      <w:r>
        <w:t>and a few interview transcripts</w:t>
      </w:r>
      <w:r>
        <w:rPr>
          <w:rStyle w:val="FootnoteReference"/>
        </w:rPr>
        <w:footnoteReference w:id="1"/>
      </w:r>
      <w:r>
        <w:t>)</w:t>
      </w:r>
      <w:r w:rsidR="00F03C30">
        <w:t xml:space="preserve"> </w:t>
      </w:r>
      <w:r w:rsidR="001F1E5C">
        <w:t>from which I draw inferences about possible causes of the outcomes I study.</w:t>
      </w:r>
      <w:r w:rsidR="0023676B">
        <w:t xml:space="preserve"> Appendices A.6-A.8 also include tables where I summarize my inferences based on the “guilty mind” and “guilty act” hoop tests as well as </w:t>
      </w:r>
      <w:r w:rsidR="00237915">
        <w:t xml:space="preserve">on </w:t>
      </w:r>
      <w:r w:rsidR="0023676B">
        <w:t xml:space="preserve">my approach to identifying a potential driving force (“mastermind”), which I have outlined in appendix A.4. I have prepared </w:t>
      </w:r>
      <w:r w:rsidR="00197357">
        <w:t>the</w:t>
      </w:r>
      <w:r w:rsidR="00860649">
        <w:t>se appendices</w:t>
      </w:r>
      <w:r w:rsidR="0023676B">
        <w:t xml:space="preserve"> for two</w:t>
      </w:r>
      <w:r w:rsidR="00197357">
        <w:t xml:space="preserve"> </w:t>
      </w:r>
      <w:r w:rsidR="0023676B">
        <w:t xml:space="preserve">reasons. Firstly, I have tried to comply – and, given ongoing debates about best practices, </w:t>
      </w:r>
      <w:r w:rsidR="006125AB">
        <w:t xml:space="preserve">to </w:t>
      </w:r>
      <w:r w:rsidR="0023676B">
        <w:t>experiment a bit – with the new norms of</w:t>
      </w:r>
      <w:r w:rsidR="00860649">
        <w:t xml:space="preserve"> transparency,</w:t>
      </w:r>
      <w:r w:rsidR="0023676B">
        <w:t xml:space="preserve"> data access (Elman &amp; Kapiszewski, 2014</w:t>
      </w:r>
      <w:r w:rsidR="002B5ED2">
        <w:t xml:space="preserve">; Jacobs </w:t>
      </w:r>
      <w:r w:rsidR="002B5ED2" w:rsidRPr="00712410">
        <w:t>et al.</w:t>
      </w:r>
      <w:r w:rsidR="002B5ED2" w:rsidRPr="002B5ED2">
        <w:t>,</w:t>
      </w:r>
      <w:r w:rsidR="002B5ED2">
        <w:t xml:space="preserve"> 2021</w:t>
      </w:r>
      <w:r w:rsidR="000D5F4C">
        <w:t>; Kapiszewski &amp; Karcher, 2021</w:t>
      </w:r>
      <w:r w:rsidR="0023676B">
        <w:t>) and active citation (Moravcsik, 2014). Secondly, I have felt compelled to prepare such appendices given that my own “prior” on the hypotheses I put forward in the paper was low and that I do n</w:t>
      </w:r>
      <w:r w:rsidR="006125AB">
        <w:t>ot expect readers to have high priors</w:t>
      </w:r>
      <w:r w:rsidR="0023676B">
        <w:t xml:space="preserve"> on it either; </w:t>
      </w:r>
      <w:r w:rsidR="00197357">
        <w:t xml:space="preserve">Given those low priors (and high priors for the rival hypothesis of top-down co-option by state actors or conservative-nationalist parties), I have </w:t>
      </w:r>
      <w:r w:rsidR="00860649">
        <w:t>tried to be as transparent as possible about the “causal process observations” that led me to reach the conclusions I reached in the paper</w:t>
      </w:r>
    </w:p>
    <w:p w14:paraId="2B0310D8" w14:textId="77777777" w:rsidR="0023676B" w:rsidRDefault="0023676B" w:rsidP="00C074B1">
      <w:pPr>
        <w:jc w:val="both"/>
      </w:pPr>
    </w:p>
    <w:p w14:paraId="1281E094" w14:textId="1979DE6A" w:rsidR="00197357" w:rsidRDefault="00197357" w:rsidP="00C074B1">
      <w:pPr>
        <w:jc w:val="both"/>
      </w:pPr>
      <w:r w:rsidRPr="00197357">
        <w:rPr>
          <w:b/>
        </w:rPr>
        <w:t>Appendix A.6</w:t>
      </w:r>
      <w:r w:rsidR="0023676B">
        <w:t xml:space="preserve"> </w:t>
      </w:r>
      <w:r>
        <w:t>focuses on the “repolonization” of foreign-owned Polish banks.</w:t>
      </w:r>
    </w:p>
    <w:p w14:paraId="53078D9E" w14:textId="77777777" w:rsidR="00860649" w:rsidRDefault="00860649" w:rsidP="00C074B1">
      <w:pPr>
        <w:jc w:val="both"/>
        <w:rPr>
          <w:b/>
        </w:rPr>
      </w:pPr>
    </w:p>
    <w:p w14:paraId="6041BF8F" w14:textId="2CF6764C" w:rsidR="00197357" w:rsidRDefault="00197357" w:rsidP="00C074B1">
      <w:pPr>
        <w:jc w:val="both"/>
      </w:pPr>
      <w:r w:rsidRPr="00197357">
        <w:rPr>
          <w:b/>
        </w:rPr>
        <w:t>Appendix A.7</w:t>
      </w:r>
      <w:r>
        <w:t xml:space="preserve"> focuses on the creation of “Polish Investments for Development” (PIR) in 2013.</w:t>
      </w:r>
    </w:p>
    <w:p w14:paraId="63D0D2AB" w14:textId="77777777" w:rsidR="00860649" w:rsidRDefault="00860649" w:rsidP="00C074B1">
      <w:pPr>
        <w:jc w:val="both"/>
        <w:rPr>
          <w:b/>
        </w:rPr>
      </w:pPr>
    </w:p>
    <w:p w14:paraId="2C625281" w14:textId="561634DA" w:rsidR="00197357" w:rsidRPr="00577A15" w:rsidRDefault="00197357" w:rsidP="00C074B1">
      <w:pPr>
        <w:jc w:val="both"/>
      </w:pPr>
      <w:r w:rsidRPr="00197357">
        <w:rPr>
          <w:b/>
        </w:rPr>
        <w:t>Appendix A.8</w:t>
      </w:r>
      <w:r>
        <w:t xml:space="preserve"> focuses on the creation of the Polish Development Fund (PFR) Group in 2016.</w:t>
      </w:r>
    </w:p>
    <w:p w14:paraId="5D2ED604" w14:textId="77777777" w:rsidR="00860649" w:rsidRDefault="00860649" w:rsidP="00C074B1">
      <w:pPr>
        <w:jc w:val="both"/>
      </w:pPr>
    </w:p>
    <w:p w14:paraId="6BE24D96" w14:textId="41A19903" w:rsidR="0023676B" w:rsidRDefault="00340B28" w:rsidP="00C074B1">
      <w:pPr>
        <w:jc w:val="both"/>
      </w:pPr>
      <w:r w:rsidRPr="00BE77B6">
        <w:rPr>
          <w:b/>
        </w:rPr>
        <w:t>Appendix A.9</w:t>
      </w:r>
      <w:r w:rsidR="0023676B">
        <w:t xml:space="preserve"> </w:t>
      </w:r>
      <w:r>
        <w:t xml:space="preserve">focuses on parts of the mechanism explaining </w:t>
      </w:r>
      <w:r w:rsidR="00BE77B6">
        <w:t>compradors’ bankers mobilization in favor of a revival of developmentalism in Poland.</w:t>
      </w:r>
    </w:p>
    <w:p w14:paraId="7E12077B" w14:textId="77777777" w:rsidR="00577A15" w:rsidRDefault="00577A15" w:rsidP="00C074B1">
      <w:pPr>
        <w:jc w:val="both"/>
      </w:pPr>
    </w:p>
    <w:p w14:paraId="7FAE0EB3" w14:textId="77777777" w:rsidR="008D5332" w:rsidRDefault="008D5332" w:rsidP="00C074B1">
      <w:pPr>
        <w:jc w:val="both"/>
      </w:pPr>
    </w:p>
    <w:p w14:paraId="68D546DF" w14:textId="77777777" w:rsidR="00860649" w:rsidRDefault="00860649" w:rsidP="00C074B1">
      <w:pPr>
        <w:jc w:val="both"/>
      </w:pPr>
    </w:p>
    <w:p w14:paraId="590CB6AC" w14:textId="77777777" w:rsidR="00860649" w:rsidRDefault="00860649" w:rsidP="00C074B1">
      <w:pPr>
        <w:jc w:val="both"/>
      </w:pPr>
    </w:p>
    <w:p w14:paraId="57C8C045" w14:textId="77777777" w:rsidR="00860649" w:rsidRDefault="00860649" w:rsidP="00C074B1">
      <w:pPr>
        <w:jc w:val="both"/>
      </w:pPr>
    </w:p>
    <w:p w14:paraId="5376DFA3" w14:textId="77777777" w:rsidR="008D5332" w:rsidRDefault="008D5332" w:rsidP="00C074B1">
      <w:pPr>
        <w:jc w:val="both"/>
      </w:pPr>
    </w:p>
    <w:p w14:paraId="49090433" w14:textId="77777777" w:rsidR="00860649" w:rsidRDefault="00860649" w:rsidP="00C074B1">
      <w:pPr>
        <w:jc w:val="both"/>
        <w:rPr>
          <w:b/>
        </w:rPr>
      </w:pPr>
      <w:r>
        <w:rPr>
          <w:b/>
        </w:rPr>
        <w:br w:type="page"/>
      </w:r>
    </w:p>
    <w:p w14:paraId="126E5EBD" w14:textId="4B850476" w:rsidR="008D5332" w:rsidRPr="008D5332" w:rsidRDefault="008D5332" w:rsidP="00C074B1">
      <w:pPr>
        <w:jc w:val="both"/>
        <w:rPr>
          <w:b/>
        </w:rPr>
      </w:pPr>
      <w:r w:rsidRPr="008D5332">
        <w:rPr>
          <w:b/>
        </w:rPr>
        <w:t>References:</w:t>
      </w:r>
    </w:p>
    <w:p w14:paraId="2F352911" w14:textId="77777777" w:rsidR="008D5332" w:rsidRPr="008D5332" w:rsidRDefault="008D5332" w:rsidP="00C074B1">
      <w:pPr>
        <w:jc w:val="both"/>
      </w:pPr>
    </w:p>
    <w:p w14:paraId="7F134AF8" w14:textId="25D38E1F" w:rsidR="00702520" w:rsidRDefault="00702520" w:rsidP="00C074B1">
      <w:pPr>
        <w:spacing w:after="120"/>
        <w:ind w:left="720" w:hanging="720"/>
        <w:jc w:val="both"/>
        <w:rPr>
          <w:rFonts w:ascii="Cambria" w:hAnsi="Cambria"/>
        </w:rPr>
      </w:pPr>
      <w:r w:rsidRPr="00025F8B">
        <w:rPr>
          <w:rFonts w:ascii="Cambria" w:hAnsi="Cambria"/>
        </w:rPr>
        <w:t xml:space="preserve">Bennett, A., &amp; Checkel, J. T. (2015). Process tracing: From philosophical roots to best practices. In A. Bennett &amp; J.T. Checkel (Eds.) </w:t>
      </w:r>
      <w:r w:rsidRPr="00025F8B">
        <w:rPr>
          <w:rFonts w:ascii="Cambria" w:hAnsi="Cambria"/>
          <w:i/>
        </w:rPr>
        <w:t>Process Tracing: From Metaphor to Analytical Tool</w:t>
      </w:r>
      <w:r w:rsidRPr="00025F8B">
        <w:rPr>
          <w:rFonts w:ascii="Cambria" w:hAnsi="Cambria"/>
        </w:rPr>
        <w:t xml:space="preserve"> (pp. 3-37). Cambridge: Cambridge University Press.</w:t>
      </w:r>
    </w:p>
    <w:p w14:paraId="0FB9C901" w14:textId="77777777" w:rsidR="00712410" w:rsidRDefault="008D5332" w:rsidP="00712410">
      <w:pPr>
        <w:spacing w:after="120"/>
        <w:ind w:left="720" w:hanging="720"/>
        <w:jc w:val="both"/>
        <w:rPr>
          <w:rFonts w:ascii="Cambria" w:hAnsi="Cambria"/>
        </w:rPr>
      </w:pPr>
      <w:r w:rsidRPr="008D5332">
        <w:rPr>
          <w:rFonts w:ascii="Cambria" w:hAnsi="Cambria"/>
        </w:rPr>
        <w:t xml:space="preserve">Elman, C., &amp; Kapiszewski, D. (2014). Data access and research transparency in the qualitative tradition. </w:t>
      </w:r>
      <w:r w:rsidRPr="008D5332">
        <w:rPr>
          <w:rFonts w:ascii="Cambria" w:hAnsi="Cambria"/>
          <w:i/>
        </w:rPr>
        <w:t>PS: Political Science and Politics</w:t>
      </w:r>
      <w:r w:rsidRPr="008D5332">
        <w:rPr>
          <w:rFonts w:ascii="Cambria" w:hAnsi="Cambria"/>
        </w:rPr>
        <w:t xml:space="preserve">, </w:t>
      </w:r>
      <w:r w:rsidRPr="008D5332">
        <w:rPr>
          <w:rFonts w:ascii="Cambria" w:hAnsi="Cambria"/>
          <w:i/>
        </w:rPr>
        <w:t>47</w:t>
      </w:r>
      <w:r w:rsidRPr="008D5332">
        <w:rPr>
          <w:rFonts w:ascii="Cambria" w:hAnsi="Cambria"/>
        </w:rPr>
        <w:t>(1), 43-47.</w:t>
      </w:r>
    </w:p>
    <w:p w14:paraId="13DE5E75" w14:textId="0E57A407" w:rsidR="00712410" w:rsidRDefault="00712410" w:rsidP="00712410">
      <w:pPr>
        <w:spacing w:after="120"/>
        <w:ind w:left="720" w:hanging="720"/>
        <w:jc w:val="both"/>
        <w:rPr>
          <w:rFonts w:ascii="Cambria" w:hAnsi="Cambria"/>
        </w:rPr>
      </w:pPr>
      <w:r>
        <w:rPr>
          <w:rFonts w:ascii="Cambria" w:hAnsi="Cambria"/>
        </w:rPr>
        <w:t>Jacobs, A. M., Büthe, T., Arjona, A., Arriola, Leonardo R., Bellin, E., Bennett, A., Björkman, L., Bleich, E., Elkins, Z., Fairfield, T., Gaikwad, N., Greitens, S. C., Hawkesworth, M., Herrera, V., Herrera, Y. M., Johnson, K. S., Karakoç, E., Koivu, K., Kreuzer, M., … Yashar, D. J. (2021)</w:t>
      </w:r>
      <w:r w:rsidR="006411A9">
        <w:rPr>
          <w:rFonts w:ascii="Cambria" w:hAnsi="Cambria"/>
        </w:rPr>
        <w:t>. The Qualitative Tr</w:t>
      </w:r>
      <w:r w:rsidR="000D5F4C">
        <w:rPr>
          <w:rFonts w:ascii="Cambria" w:hAnsi="Cambria"/>
        </w:rPr>
        <w:t>ansparency Deliberations: Insights and i</w:t>
      </w:r>
      <w:r w:rsidR="006411A9">
        <w:rPr>
          <w:rFonts w:ascii="Cambria" w:hAnsi="Cambria"/>
        </w:rPr>
        <w:t xml:space="preserve">mplications. </w:t>
      </w:r>
      <w:r w:rsidR="006411A9">
        <w:rPr>
          <w:rFonts w:ascii="Cambria" w:hAnsi="Cambria"/>
          <w:i/>
        </w:rPr>
        <w:t>Perspectives on Politics</w:t>
      </w:r>
      <w:r w:rsidR="006411A9">
        <w:rPr>
          <w:rFonts w:ascii="Cambria" w:hAnsi="Cambria"/>
        </w:rPr>
        <w:t>, 19(1), 171-208.</w:t>
      </w:r>
      <w:r>
        <w:rPr>
          <w:rFonts w:ascii="Cambria" w:hAnsi="Cambria"/>
        </w:rPr>
        <w:t xml:space="preserve"> </w:t>
      </w:r>
    </w:p>
    <w:p w14:paraId="02DF2529" w14:textId="59A2F1C2" w:rsidR="00712410" w:rsidRPr="000D5F4C" w:rsidRDefault="000D5F4C" w:rsidP="000D5F4C">
      <w:pPr>
        <w:spacing w:after="120"/>
        <w:ind w:left="720" w:hanging="720"/>
        <w:jc w:val="both"/>
        <w:rPr>
          <w:rFonts w:ascii="Cambria" w:hAnsi="Cambria"/>
        </w:rPr>
      </w:pPr>
      <w:r>
        <w:rPr>
          <w:rFonts w:ascii="Cambria" w:hAnsi="Cambria"/>
        </w:rPr>
        <w:t xml:space="preserve">Kapiszewski, D., &amp; Karcher, S. (2021). Transparency in practice in qualitative research. </w:t>
      </w:r>
      <w:r w:rsidRPr="000D5F4C">
        <w:rPr>
          <w:rFonts w:ascii="Cambria" w:hAnsi="Cambria"/>
          <w:i/>
        </w:rPr>
        <w:t>PS: Political Science and Politics</w:t>
      </w:r>
      <w:r>
        <w:rPr>
          <w:rFonts w:ascii="Cambria" w:hAnsi="Cambria"/>
        </w:rPr>
        <w:t xml:space="preserve">, </w:t>
      </w:r>
      <w:bookmarkStart w:id="0" w:name="_GoBack"/>
      <w:r w:rsidRPr="00FC60D1">
        <w:rPr>
          <w:rFonts w:ascii="Cambria" w:hAnsi="Cambria"/>
          <w:i/>
        </w:rPr>
        <w:t>54</w:t>
      </w:r>
      <w:bookmarkEnd w:id="0"/>
      <w:r>
        <w:rPr>
          <w:rFonts w:ascii="Cambria" w:hAnsi="Cambria"/>
        </w:rPr>
        <w:t>(2), 285-291.</w:t>
      </w:r>
    </w:p>
    <w:p w14:paraId="2A0340BA" w14:textId="77777777" w:rsidR="008D5332" w:rsidRPr="00025F8B" w:rsidRDefault="008D5332" w:rsidP="00C074B1">
      <w:pPr>
        <w:spacing w:after="120"/>
        <w:ind w:left="720" w:hanging="720"/>
        <w:jc w:val="both"/>
        <w:rPr>
          <w:rFonts w:ascii="Cambria" w:hAnsi="Cambria"/>
        </w:rPr>
      </w:pPr>
      <w:r w:rsidRPr="008D5332">
        <w:rPr>
          <w:rFonts w:ascii="Cambria" w:hAnsi="Cambria"/>
        </w:rPr>
        <w:t xml:space="preserve">Moravcsik, A. (2014). Transparency: The revolution in qualitative research. </w:t>
      </w:r>
      <w:r w:rsidRPr="008D5332">
        <w:rPr>
          <w:rFonts w:ascii="Cambria" w:hAnsi="Cambria"/>
          <w:i/>
        </w:rPr>
        <w:t>PS: Political Science and Politics</w:t>
      </w:r>
      <w:r w:rsidRPr="008D5332">
        <w:rPr>
          <w:rFonts w:ascii="Cambria" w:hAnsi="Cambria"/>
        </w:rPr>
        <w:t xml:space="preserve">, </w:t>
      </w:r>
      <w:r w:rsidRPr="008D5332">
        <w:rPr>
          <w:rFonts w:ascii="Cambria" w:hAnsi="Cambria"/>
          <w:i/>
        </w:rPr>
        <w:t>47</w:t>
      </w:r>
      <w:r w:rsidRPr="008D5332">
        <w:rPr>
          <w:rFonts w:ascii="Cambria" w:hAnsi="Cambria"/>
        </w:rPr>
        <w:t>(1), 48-53.</w:t>
      </w:r>
    </w:p>
    <w:p w14:paraId="48E8E76E" w14:textId="77777777" w:rsidR="008D5332" w:rsidRPr="00025F8B" w:rsidRDefault="008D5332" w:rsidP="00C074B1">
      <w:pPr>
        <w:spacing w:after="120"/>
        <w:ind w:left="720" w:hanging="720"/>
        <w:jc w:val="both"/>
        <w:rPr>
          <w:rFonts w:ascii="Cambria" w:hAnsi="Cambria"/>
        </w:rPr>
      </w:pPr>
    </w:p>
    <w:p w14:paraId="5D9CEE24" w14:textId="77777777" w:rsidR="008D5332" w:rsidRDefault="008D5332" w:rsidP="00C074B1">
      <w:pPr>
        <w:jc w:val="both"/>
      </w:pPr>
    </w:p>
    <w:p w14:paraId="1C0015D7" w14:textId="77777777" w:rsidR="008D5332" w:rsidRDefault="008D5332" w:rsidP="00C074B1">
      <w:pPr>
        <w:jc w:val="both"/>
      </w:pPr>
    </w:p>
    <w:sectPr w:rsidR="008D5332" w:rsidSect="008A0CF9">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C97FD" w14:textId="77777777" w:rsidR="00340B28" w:rsidRDefault="00340B28" w:rsidP="00577A15">
      <w:r>
        <w:separator/>
      </w:r>
    </w:p>
  </w:endnote>
  <w:endnote w:type="continuationSeparator" w:id="0">
    <w:p w14:paraId="1DB41D85" w14:textId="77777777" w:rsidR="00340B28" w:rsidRDefault="00340B28" w:rsidP="0057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2C6DC" w14:textId="77777777" w:rsidR="004C699E" w:rsidRDefault="004C699E" w:rsidP="00330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F6630D" w14:textId="77777777" w:rsidR="004C699E" w:rsidRDefault="004C699E" w:rsidP="004C699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15656" w14:textId="77777777" w:rsidR="004C699E" w:rsidRDefault="004C699E" w:rsidP="00330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C60D1">
      <w:rPr>
        <w:rStyle w:val="PageNumber"/>
        <w:noProof/>
      </w:rPr>
      <w:t>1</w:t>
    </w:r>
    <w:r>
      <w:rPr>
        <w:rStyle w:val="PageNumber"/>
      </w:rPr>
      <w:fldChar w:fldCharType="end"/>
    </w:r>
  </w:p>
  <w:p w14:paraId="632B9C20" w14:textId="77777777" w:rsidR="004C699E" w:rsidRDefault="004C699E" w:rsidP="004C699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E0410" w14:textId="77777777" w:rsidR="00340B28" w:rsidRDefault="00340B28" w:rsidP="00577A15">
      <w:r>
        <w:separator/>
      </w:r>
    </w:p>
  </w:footnote>
  <w:footnote w:type="continuationSeparator" w:id="0">
    <w:p w14:paraId="0090C2E2" w14:textId="77777777" w:rsidR="00340B28" w:rsidRDefault="00340B28" w:rsidP="00577A15">
      <w:r>
        <w:continuationSeparator/>
      </w:r>
    </w:p>
  </w:footnote>
  <w:footnote w:id="1">
    <w:p w14:paraId="546973C7" w14:textId="7575181D" w:rsidR="00340B28" w:rsidRPr="00577A15" w:rsidRDefault="00340B28">
      <w:pPr>
        <w:pStyle w:val="FootnoteText"/>
        <w:rPr>
          <w:sz w:val="22"/>
          <w:szCs w:val="22"/>
        </w:rPr>
      </w:pPr>
      <w:r w:rsidRPr="00577A15">
        <w:rPr>
          <w:rStyle w:val="FootnoteReference"/>
          <w:sz w:val="22"/>
          <w:szCs w:val="22"/>
        </w:rPr>
        <w:footnoteRef/>
      </w:r>
      <w:r w:rsidRPr="00577A15">
        <w:rPr>
          <w:sz w:val="22"/>
          <w:szCs w:val="22"/>
        </w:rPr>
        <w:t xml:space="preserve"> Requests were made to more interviewees to give permission to include interview transcripts in the appendices, but some of them refused.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69"/>
    <w:rsid w:val="00007134"/>
    <w:rsid w:val="000305E1"/>
    <w:rsid w:val="00081706"/>
    <w:rsid w:val="000B5EE5"/>
    <w:rsid w:val="000D5F4C"/>
    <w:rsid w:val="000F0BF4"/>
    <w:rsid w:val="00197357"/>
    <w:rsid w:val="001F1E5C"/>
    <w:rsid w:val="0023676B"/>
    <w:rsid w:val="00237915"/>
    <w:rsid w:val="0024170C"/>
    <w:rsid w:val="00270C81"/>
    <w:rsid w:val="002748B7"/>
    <w:rsid w:val="002A0DD8"/>
    <w:rsid w:val="002A2689"/>
    <w:rsid w:val="002B5ED2"/>
    <w:rsid w:val="002F0778"/>
    <w:rsid w:val="002F5166"/>
    <w:rsid w:val="00340B28"/>
    <w:rsid w:val="003C5D92"/>
    <w:rsid w:val="004C699E"/>
    <w:rsid w:val="00504069"/>
    <w:rsid w:val="00577A15"/>
    <w:rsid w:val="00592AD6"/>
    <w:rsid w:val="005D30CC"/>
    <w:rsid w:val="005E7EC3"/>
    <w:rsid w:val="005F42B2"/>
    <w:rsid w:val="006125AB"/>
    <w:rsid w:val="0061349A"/>
    <w:rsid w:val="006411A9"/>
    <w:rsid w:val="006976FB"/>
    <w:rsid w:val="006C142C"/>
    <w:rsid w:val="006C2669"/>
    <w:rsid w:val="00702520"/>
    <w:rsid w:val="00712410"/>
    <w:rsid w:val="00741BC2"/>
    <w:rsid w:val="007B6AF1"/>
    <w:rsid w:val="008437F5"/>
    <w:rsid w:val="00860649"/>
    <w:rsid w:val="00863E65"/>
    <w:rsid w:val="00876D8C"/>
    <w:rsid w:val="008A0CF9"/>
    <w:rsid w:val="008D5332"/>
    <w:rsid w:val="008E0F1E"/>
    <w:rsid w:val="008F5EB7"/>
    <w:rsid w:val="00903A8F"/>
    <w:rsid w:val="00906C8C"/>
    <w:rsid w:val="009162E1"/>
    <w:rsid w:val="00A90042"/>
    <w:rsid w:val="00AA62F7"/>
    <w:rsid w:val="00AF758C"/>
    <w:rsid w:val="00B278BB"/>
    <w:rsid w:val="00B3211A"/>
    <w:rsid w:val="00BE77B6"/>
    <w:rsid w:val="00BF59D0"/>
    <w:rsid w:val="00C074B1"/>
    <w:rsid w:val="00C660B7"/>
    <w:rsid w:val="00C9577A"/>
    <w:rsid w:val="00CC6D82"/>
    <w:rsid w:val="00CD5DE9"/>
    <w:rsid w:val="00D204F4"/>
    <w:rsid w:val="00D212D9"/>
    <w:rsid w:val="00D54EBB"/>
    <w:rsid w:val="00D85193"/>
    <w:rsid w:val="00DE3451"/>
    <w:rsid w:val="00E21DD8"/>
    <w:rsid w:val="00E30E9A"/>
    <w:rsid w:val="00E85D1E"/>
    <w:rsid w:val="00F03C30"/>
    <w:rsid w:val="00F71B6F"/>
    <w:rsid w:val="00F81C74"/>
    <w:rsid w:val="00FC60D1"/>
    <w:rsid w:val="00FE4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76C1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40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069"/>
    <w:rPr>
      <w:rFonts w:ascii="Lucida Grande" w:hAnsi="Lucida Grande" w:cs="Lucida Grande"/>
      <w:sz w:val="18"/>
      <w:szCs w:val="18"/>
    </w:rPr>
  </w:style>
  <w:style w:type="paragraph" w:styleId="TOC1">
    <w:name w:val="toc 1"/>
    <w:basedOn w:val="Normal"/>
    <w:next w:val="Normal"/>
    <w:autoRedefine/>
    <w:uiPriority w:val="39"/>
    <w:unhideWhenUsed/>
    <w:rsid w:val="002A2689"/>
    <w:pPr>
      <w:spacing w:before="120"/>
    </w:pPr>
    <w:rPr>
      <w:b/>
    </w:rPr>
  </w:style>
  <w:style w:type="paragraph" w:styleId="FootnoteText">
    <w:name w:val="footnote text"/>
    <w:basedOn w:val="Normal"/>
    <w:link w:val="FootnoteTextChar"/>
    <w:uiPriority w:val="99"/>
    <w:unhideWhenUsed/>
    <w:rsid w:val="00577A15"/>
  </w:style>
  <w:style w:type="character" w:customStyle="1" w:styleId="FootnoteTextChar">
    <w:name w:val="Footnote Text Char"/>
    <w:basedOn w:val="DefaultParagraphFont"/>
    <w:link w:val="FootnoteText"/>
    <w:uiPriority w:val="99"/>
    <w:rsid w:val="00577A15"/>
  </w:style>
  <w:style w:type="character" w:styleId="FootnoteReference">
    <w:name w:val="footnote reference"/>
    <w:basedOn w:val="DefaultParagraphFont"/>
    <w:uiPriority w:val="99"/>
    <w:unhideWhenUsed/>
    <w:rsid w:val="00577A15"/>
    <w:rPr>
      <w:vertAlign w:val="superscript"/>
    </w:rPr>
  </w:style>
  <w:style w:type="character" w:customStyle="1" w:styleId="text">
    <w:name w:val="text"/>
    <w:basedOn w:val="DefaultParagraphFont"/>
    <w:rsid w:val="00712410"/>
  </w:style>
  <w:style w:type="paragraph" w:styleId="Footer">
    <w:name w:val="footer"/>
    <w:basedOn w:val="Normal"/>
    <w:link w:val="FooterChar"/>
    <w:uiPriority w:val="99"/>
    <w:unhideWhenUsed/>
    <w:rsid w:val="004C699E"/>
    <w:pPr>
      <w:tabs>
        <w:tab w:val="center" w:pos="4320"/>
        <w:tab w:val="right" w:pos="8640"/>
      </w:tabs>
    </w:pPr>
  </w:style>
  <w:style w:type="character" w:customStyle="1" w:styleId="FooterChar">
    <w:name w:val="Footer Char"/>
    <w:basedOn w:val="DefaultParagraphFont"/>
    <w:link w:val="Footer"/>
    <w:uiPriority w:val="99"/>
    <w:rsid w:val="004C699E"/>
  </w:style>
  <w:style w:type="character" w:styleId="PageNumber">
    <w:name w:val="page number"/>
    <w:basedOn w:val="DefaultParagraphFont"/>
    <w:uiPriority w:val="99"/>
    <w:semiHidden/>
    <w:unhideWhenUsed/>
    <w:rsid w:val="004C699E"/>
  </w:style>
  <w:style w:type="paragraph" w:styleId="Header">
    <w:name w:val="header"/>
    <w:basedOn w:val="Normal"/>
    <w:link w:val="HeaderChar"/>
    <w:uiPriority w:val="99"/>
    <w:unhideWhenUsed/>
    <w:rsid w:val="004C699E"/>
    <w:pPr>
      <w:tabs>
        <w:tab w:val="center" w:pos="4320"/>
        <w:tab w:val="right" w:pos="8640"/>
      </w:tabs>
    </w:pPr>
  </w:style>
  <w:style w:type="character" w:customStyle="1" w:styleId="HeaderChar">
    <w:name w:val="Header Char"/>
    <w:basedOn w:val="DefaultParagraphFont"/>
    <w:link w:val="Header"/>
    <w:uiPriority w:val="99"/>
    <w:rsid w:val="004C699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40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069"/>
    <w:rPr>
      <w:rFonts w:ascii="Lucida Grande" w:hAnsi="Lucida Grande" w:cs="Lucida Grande"/>
      <w:sz w:val="18"/>
      <w:szCs w:val="18"/>
    </w:rPr>
  </w:style>
  <w:style w:type="paragraph" w:styleId="TOC1">
    <w:name w:val="toc 1"/>
    <w:basedOn w:val="Normal"/>
    <w:next w:val="Normal"/>
    <w:autoRedefine/>
    <w:uiPriority w:val="39"/>
    <w:unhideWhenUsed/>
    <w:rsid w:val="002A2689"/>
    <w:pPr>
      <w:spacing w:before="120"/>
    </w:pPr>
    <w:rPr>
      <w:b/>
    </w:rPr>
  </w:style>
  <w:style w:type="paragraph" w:styleId="FootnoteText">
    <w:name w:val="footnote text"/>
    <w:basedOn w:val="Normal"/>
    <w:link w:val="FootnoteTextChar"/>
    <w:uiPriority w:val="99"/>
    <w:unhideWhenUsed/>
    <w:rsid w:val="00577A15"/>
  </w:style>
  <w:style w:type="character" w:customStyle="1" w:styleId="FootnoteTextChar">
    <w:name w:val="Footnote Text Char"/>
    <w:basedOn w:val="DefaultParagraphFont"/>
    <w:link w:val="FootnoteText"/>
    <w:uiPriority w:val="99"/>
    <w:rsid w:val="00577A15"/>
  </w:style>
  <w:style w:type="character" w:styleId="FootnoteReference">
    <w:name w:val="footnote reference"/>
    <w:basedOn w:val="DefaultParagraphFont"/>
    <w:uiPriority w:val="99"/>
    <w:unhideWhenUsed/>
    <w:rsid w:val="00577A15"/>
    <w:rPr>
      <w:vertAlign w:val="superscript"/>
    </w:rPr>
  </w:style>
  <w:style w:type="character" w:customStyle="1" w:styleId="text">
    <w:name w:val="text"/>
    <w:basedOn w:val="DefaultParagraphFont"/>
    <w:rsid w:val="00712410"/>
  </w:style>
  <w:style w:type="paragraph" w:styleId="Footer">
    <w:name w:val="footer"/>
    <w:basedOn w:val="Normal"/>
    <w:link w:val="FooterChar"/>
    <w:uiPriority w:val="99"/>
    <w:unhideWhenUsed/>
    <w:rsid w:val="004C699E"/>
    <w:pPr>
      <w:tabs>
        <w:tab w:val="center" w:pos="4320"/>
        <w:tab w:val="right" w:pos="8640"/>
      </w:tabs>
    </w:pPr>
  </w:style>
  <w:style w:type="character" w:customStyle="1" w:styleId="FooterChar">
    <w:name w:val="Footer Char"/>
    <w:basedOn w:val="DefaultParagraphFont"/>
    <w:link w:val="Footer"/>
    <w:uiPriority w:val="99"/>
    <w:rsid w:val="004C699E"/>
  </w:style>
  <w:style w:type="character" w:styleId="PageNumber">
    <w:name w:val="page number"/>
    <w:basedOn w:val="DefaultParagraphFont"/>
    <w:uiPriority w:val="99"/>
    <w:semiHidden/>
    <w:unhideWhenUsed/>
    <w:rsid w:val="004C699E"/>
  </w:style>
  <w:style w:type="paragraph" w:styleId="Header">
    <w:name w:val="header"/>
    <w:basedOn w:val="Normal"/>
    <w:link w:val="HeaderChar"/>
    <w:uiPriority w:val="99"/>
    <w:unhideWhenUsed/>
    <w:rsid w:val="004C699E"/>
    <w:pPr>
      <w:tabs>
        <w:tab w:val="center" w:pos="4320"/>
        <w:tab w:val="right" w:pos="8640"/>
      </w:tabs>
    </w:pPr>
  </w:style>
  <w:style w:type="character" w:customStyle="1" w:styleId="HeaderChar">
    <w:name w:val="Header Char"/>
    <w:basedOn w:val="DefaultParagraphFont"/>
    <w:link w:val="Header"/>
    <w:uiPriority w:val="99"/>
    <w:rsid w:val="004C6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637108">
      <w:bodyDiv w:val="1"/>
      <w:marLeft w:val="0"/>
      <w:marRight w:val="0"/>
      <w:marTop w:val="0"/>
      <w:marBottom w:val="0"/>
      <w:divBdr>
        <w:top w:val="none" w:sz="0" w:space="0" w:color="auto"/>
        <w:left w:val="none" w:sz="0" w:space="0" w:color="auto"/>
        <w:bottom w:val="none" w:sz="0" w:space="0" w:color="auto"/>
        <w:right w:val="none" w:sz="0" w:space="0" w:color="auto"/>
      </w:divBdr>
      <w:divsChild>
        <w:div w:id="474107688">
          <w:marLeft w:val="0"/>
          <w:marRight w:val="75"/>
          <w:marTop w:val="0"/>
          <w:marBottom w:val="0"/>
          <w:divBdr>
            <w:top w:val="none" w:sz="0" w:space="0" w:color="auto"/>
            <w:left w:val="none" w:sz="0" w:space="0" w:color="auto"/>
            <w:bottom w:val="none" w:sz="0" w:space="0" w:color="auto"/>
            <w:right w:val="none" w:sz="0" w:space="0" w:color="auto"/>
          </w:divBdr>
        </w:div>
        <w:div w:id="1202283986">
          <w:marLeft w:val="0"/>
          <w:marRight w:val="75"/>
          <w:marTop w:val="0"/>
          <w:marBottom w:val="0"/>
          <w:divBdr>
            <w:top w:val="none" w:sz="0" w:space="0" w:color="auto"/>
            <w:left w:val="none" w:sz="0" w:space="0" w:color="auto"/>
            <w:bottom w:val="none" w:sz="0" w:space="0" w:color="auto"/>
            <w:right w:val="none" w:sz="0" w:space="0" w:color="auto"/>
          </w:divBdr>
        </w:div>
        <w:div w:id="1304502788">
          <w:marLeft w:val="0"/>
          <w:marRight w:val="75"/>
          <w:marTop w:val="0"/>
          <w:marBottom w:val="0"/>
          <w:divBdr>
            <w:top w:val="none" w:sz="0" w:space="0" w:color="auto"/>
            <w:left w:val="none" w:sz="0" w:space="0" w:color="auto"/>
            <w:bottom w:val="none" w:sz="0" w:space="0" w:color="auto"/>
            <w:right w:val="none" w:sz="0" w:space="0" w:color="auto"/>
          </w:divBdr>
        </w:div>
        <w:div w:id="285893977">
          <w:marLeft w:val="0"/>
          <w:marRight w:val="75"/>
          <w:marTop w:val="0"/>
          <w:marBottom w:val="0"/>
          <w:divBdr>
            <w:top w:val="none" w:sz="0" w:space="0" w:color="auto"/>
            <w:left w:val="none" w:sz="0" w:space="0" w:color="auto"/>
            <w:bottom w:val="none" w:sz="0" w:space="0" w:color="auto"/>
            <w:right w:val="none" w:sz="0" w:space="0" w:color="auto"/>
          </w:divBdr>
        </w:div>
        <w:div w:id="887185387">
          <w:marLeft w:val="0"/>
          <w:marRight w:val="75"/>
          <w:marTop w:val="0"/>
          <w:marBottom w:val="0"/>
          <w:divBdr>
            <w:top w:val="none" w:sz="0" w:space="0" w:color="auto"/>
            <w:left w:val="none" w:sz="0" w:space="0" w:color="auto"/>
            <w:bottom w:val="none" w:sz="0" w:space="0" w:color="auto"/>
            <w:right w:val="none" w:sz="0" w:space="0" w:color="auto"/>
          </w:divBdr>
        </w:div>
        <w:div w:id="1625889061">
          <w:marLeft w:val="0"/>
          <w:marRight w:val="75"/>
          <w:marTop w:val="0"/>
          <w:marBottom w:val="0"/>
          <w:divBdr>
            <w:top w:val="none" w:sz="0" w:space="0" w:color="auto"/>
            <w:left w:val="none" w:sz="0" w:space="0" w:color="auto"/>
            <w:bottom w:val="none" w:sz="0" w:space="0" w:color="auto"/>
            <w:right w:val="none" w:sz="0" w:space="0" w:color="auto"/>
          </w:divBdr>
        </w:div>
        <w:div w:id="1011562289">
          <w:marLeft w:val="0"/>
          <w:marRight w:val="75"/>
          <w:marTop w:val="0"/>
          <w:marBottom w:val="0"/>
          <w:divBdr>
            <w:top w:val="none" w:sz="0" w:space="0" w:color="auto"/>
            <w:left w:val="none" w:sz="0" w:space="0" w:color="auto"/>
            <w:bottom w:val="none" w:sz="0" w:space="0" w:color="auto"/>
            <w:right w:val="none" w:sz="0" w:space="0" w:color="auto"/>
          </w:divBdr>
        </w:div>
        <w:div w:id="1558977985">
          <w:marLeft w:val="0"/>
          <w:marRight w:val="75"/>
          <w:marTop w:val="0"/>
          <w:marBottom w:val="0"/>
          <w:divBdr>
            <w:top w:val="none" w:sz="0" w:space="0" w:color="auto"/>
            <w:left w:val="none" w:sz="0" w:space="0" w:color="auto"/>
            <w:bottom w:val="none" w:sz="0" w:space="0" w:color="auto"/>
            <w:right w:val="none" w:sz="0" w:space="0" w:color="auto"/>
          </w:divBdr>
        </w:div>
        <w:div w:id="199437686">
          <w:marLeft w:val="0"/>
          <w:marRight w:val="75"/>
          <w:marTop w:val="0"/>
          <w:marBottom w:val="0"/>
          <w:divBdr>
            <w:top w:val="none" w:sz="0" w:space="0" w:color="auto"/>
            <w:left w:val="none" w:sz="0" w:space="0" w:color="auto"/>
            <w:bottom w:val="none" w:sz="0" w:space="0" w:color="auto"/>
            <w:right w:val="none" w:sz="0" w:space="0" w:color="auto"/>
          </w:divBdr>
        </w:div>
        <w:div w:id="605313671">
          <w:marLeft w:val="0"/>
          <w:marRight w:val="75"/>
          <w:marTop w:val="0"/>
          <w:marBottom w:val="0"/>
          <w:divBdr>
            <w:top w:val="none" w:sz="0" w:space="0" w:color="auto"/>
            <w:left w:val="none" w:sz="0" w:space="0" w:color="auto"/>
            <w:bottom w:val="none" w:sz="0" w:space="0" w:color="auto"/>
            <w:right w:val="none" w:sz="0" w:space="0" w:color="auto"/>
          </w:divBdr>
        </w:div>
        <w:div w:id="57368984">
          <w:marLeft w:val="0"/>
          <w:marRight w:val="75"/>
          <w:marTop w:val="0"/>
          <w:marBottom w:val="0"/>
          <w:divBdr>
            <w:top w:val="none" w:sz="0" w:space="0" w:color="auto"/>
            <w:left w:val="none" w:sz="0" w:space="0" w:color="auto"/>
            <w:bottom w:val="none" w:sz="0" w:space="0" w:color="auto"/>
            <w:right w:val="none" w:sz="0" w:space="0" w:color="auto"/>
          </w:divBdr>
        </w:div>
        <w:div w:id="855582391">
          <w:marLeft w:val="0"/>
          <w:marRight w:val="75"/>
          <w:marTop w:val="0"/>
          <w:marBottom w:val="0"/>
          <w:divBdr>
            <w:top w:val="none" w:sz="0" w:space="0" w:color="auto"/>
            <w:left w:val="none" w:sz="0" w:space="0" w:color="auto"/>
            <w:bottom w:val="none" w:sz="0" w:space="0" w:color="auto"/>
            <w:right w:val="none" w:sz="0" w:space="0" w:color="auto"/>
          </w:divBdr>
        </w:div>
        <w:div w:id="1290622087">
          <w:marLeft w:val="0"/>
          <w:marRight w:val="75"/>
          <w:marTop w:val="0"/>
          <w:marBottom w:val="0"/>
          <w:divBdr>
            <w:top w:val="none" w:sz="0" w:space="0" w:color="auto"/>
            <w:left w:val="none" w:sz="0" w:space="0" w:color="auto"/>
            <w:bottom w:val="none" w:sz="0" w:space="0" w:color="auto"/>
            <w:right w:val="none" w:sz="0" w:space="0" w:color="auto"/>
          </w:divBdr>
        </w:div>
        <w:div w:id="1488130452">
          <w:marLeft w:val="0"/>
          <w:marRight w:val="75"/>
          <w:marTop w:val="0"/>
          <w:marBottom w:val="0"/>
          <w:divBdr>
            <w:top w:val="none" w:sz="0" w:space="0" w:color="auto"/>
            <w:left w:val="none" w:sz="0" w:space="0" w:color="auto"/>
            <w:bottom w:val="none" w:sz="0" w:space="0" w:color="auto"/>
            <w:right w:val="none" w:sz="0" w:space="0" w:color="auto"/>
          </w:divBdr>
        </w:div>
        <w:div w:id="1790663104">
          <w:marLeft w:val="0"/>
          <w:marRight w:val="75"/>
          <w:marTop w:val="0"/>
          <w:marBottom w:val="0"/>
          <w:divBdr>
            <w:top w:val="none" w:sz="0" w:space="0" w:color="auto"/>
            <w:left w:val="none" w:sz="0" w:space="0" w:color="auto"/>
            <w:bottom w:val="none" w:sz="0" w:space="0" w:color="auto"/>
            <w:right w:val="none" w:sz="0" w:space="0" w:color="auto"/>
          </w:divBdr>
        </w:div>
        <w:div w:id="998265232">
          <w:marLeft w:val="0"/>
          <w:marRight w:val="75"/>
          <w:marTop w:val="0"/>
          <w:marBottom w:val="0"/>
          <w:divBdr>
            <w:top w:val="none" w:sz="0" w:space="0" w:color="auto"/>
            <w:left w:val="none" w:sz="0" w:space="0" w:color="auto"/>
            <w:bottom w:val="none" w:sz="0" w:space="0" w:color="auto"/>
            <w:right w:val="none" w:sz="0" w:space="0" w:color="auto"/>
          </w:divBdr>
        </w:div>
        <w:div w:id="884751696">
          <w:marLeft w:val="0"/>
          <w:marRight w:val="75"/>
          <w:marTop w:val="0"/>
          <w:marBottom w:val="0"/>
          <w:divBdr>
            <w:top w:val="none" w:sz="0" w:space="0" w:color="auto"/>
            <w:left w:val="none" w:sz="0" w:space="0" w:color="auto"/>
            <w:bottom w:val="none" w:sz="0" w:space="0" w:color="auto"/>
            <w:right w:val="none" w:sz="0" w:space="0" w:color="auto"/>
          </w:divBdr>
        </w:div>
        <w:div w:id="1378626742">
          <w:marLeft w:val="0"/>
          <w:marRight w:val="75"/>
          <w:marTop w:val="0"/>
          <w:marBottom w:val="0"/>
          <w:divBdr>
            <w:top w:val="none" w:sz="0" w:space="0" w:color="auto"/>
            <w:left w:val="none" w:sz="0" w:space="0" w:color="auto"/>
            <w:bottom w:val="none" w:sz="0" w:space="0" w:color="auto"/>
            <w:right w:val="none" w:sz="0" w:space="0" w:color="auto"/>
          </w:divBdr>
        </w:div>
        <w:div w:id="1512449098">
          <w:marLeft w:val="0"/>
          <w:marRight w:val="75"/>
          <w:marTop w:val="0"/>
          <w:marBottom w:val="0"/>
          <w:divBdr>
            <w:top w:val="none" w:sz="0" w:space="0" w:color="auto"/>
            <w:left w:val="none" w:sz="0" w:space="0" w:color="auto"/>
            <w:bottom w:val="none" w:sz="0" w:space="0" w:color="auto"/>
            <w:right w:val="none" w:sz="0" w:space="0" w:color="auto"/>
          </w:divBdr>
        </w:div>
        <w:div w:id="1011176586">
          <w:marLeft w:val="0"/>
          <w:marRight w:val="75"/>
          <w:marTop w:val="0"/>
          <w:marBottom w:val="0"/>
          <w:divBdr>
            <w:top w:val="none" w:sz="0" w:space="0" w:color="auto"/>
            <w:left w:val="none" w:sz="0" w:space="0" w:color="auto"/>
            <w:bottom w:val="none" w:sz="0" w:space="0" w:color="auto"/>
            <w:right w:val="none" w:sz="0" w:space="0" w:color="auto"/>
          </w:divBdr>
        </w:div>
        <w:div w:id="1353797071">
          <w:marLeft w:val="0"/>
          <w:marRight w:val="75"/>
          <w:marTop w:val="0"/>
          <w:marBottom w:val="0"/>
          <w:divBdr>
            <w:top w:val="none" w:sz="0" w:space="0" w:color="auto"/>
            <w:left w:val="none" w:sz="0" w:space="0" w:color="auto"/>
            <w:bottom w:val="none" w:sz="0" w:space="0" w:color="auto"/>
            <w:right w:val="none" w:sz="0" w:space="0" w:color="auto"/>
          </w:divBdr>
        </w:div>
        <w:div w:id="754209256">
          <w:marLeft w:val="0"/>
          <w:marRight w:val="75"/>
          <w:marTop w:val="0"/>
          <w:marBottom w:val="0"/>
          <w:divBdr>
            <w:top w:val="none" w:sz="0" w:space="0" w:color="auto"/>
            <w:left w:val="none" w:sz="0" w:space="0" w:color="auto"/>
            <w:bottom w:val="none" w:sz="0" w:space="0" w:color="auto"/>
            <w:right w:val="none" w:sz="0" w:space="0" w:color="auto"/>
          </w:divBdr>
        </w:div>
        <w:div w:id="1067075057">
          <w:marLeft w:val="0"/>
          <w:marRight w:val="75"/>
          <w:marTop w:val="0"/>
          <w:marBottom w:val="0"/>
          <w:divBdr>
            <w:top w:val="none" w:sz="0" w:space="0" w:color="auto"/>
            <w:left w:val="none" w:sz="0" w:space="0" w:color="auto"/>
            <w:bottom w:val="none" w:sz="0" w:space="0" w:color="auto"/>
            <w:right w:val="none" w:sz="0" w:space="0" w:color="auto"/>
          </w:divBdr>
        </w:div>
        <w:div w:id="1183013194">
          <w:marLeft w:val="0"/>
          <w:marRight w:val="75"/>
          <w:marTop w:val="0"/>
          <w:marBottom w:val="0"/>
          <w:divBdr>
            <w:top w:val="none" w:sz="0" w:space="0" w:color="auto"/>
            <w:left w:val="none" w:sz="0" w:space="0" w:color="auto"/>
            <w:bottom w:val="none" w:sz="0" w:space="0" w:color="auto"/>
            <w:right w:val="none" w:sz="0" w:space="0" w:color="auto"/>
          </w:divBdr>
        </w:div>
        <w:div w:id="213741739">
          <w:marLeft w:val="0"/>
          <w:marRight w:val="75"/>
          <w:marTop w:val="0"/>
          <w:marBottom w:val="0"/>
          <w:divBdr>
            <w:top w:val="none" w:sz="0" w:space="0" w:color="auto"/>
            <w:left w:val="none" w:sz="0" w:space="0" w:color="auto"/>
            <w:bottom w:val="none" w:sz="0" w:space="0" w:color="auto"/>
            <w:right w:val="none" w:sz="0" w:space="0" w:color="auto"/>
          </w:divBdr>
        </w:div>
        <w:div w:id="1898468924">
          <w:marLeft w:val="0"/>
          <w:marRight w:val="75"/>
          <w:marTop w:val="0"/>
          <w:marBottom w:val="0"/>
          <w:divBdr>
            <w:top w:val="none" w:sz="0" w:space="0" w:color="auto"/>
            <w:left w:val="none" w:sz="0" w:space="0" w:color="auto"/>
            <w:bottom w:val="none" w:sz="0" w:space="0" w:color="auto"/>
            <w:right w:val="none" w:sz="0" w:space="0" w:color="auto"/>
          </w:divBdr>
        </w:div>
        <w:div w:id="1533686417">
          <w:marLeft w:val="0"/>
          <w:marRight w:val="75"/>
          <w:marTop w:val="0"/>
          <w:marBottom w:val="0"/>
          <w:divBdr>
            <w:top w:val="none" w:sz="0" w:space="0" w:color="auto"/>
            <w:left w:val="none" w:sz="0" w:space="0" w:color="auto"/>
            <w:bottom w:val="none" w:sz="0" w:space="0" w:color="auto"/>
            <w:right w:val="none" w:sz="0" w:space="0" w:color="auto"/>
          </w:divBdr>
        </w:div>
        <w:div w:id="1959022589">
          <w:marLeft w:val="0"/>
          <w:marRight w:val="75"/>
          <w:marTop w:val="0"/>
          <w:marBottom w:val="0"/>
          <w:divBdr>
            <w:top w:val="none" w:sz="0" w:space="0" w:color="auto"/>
            <w:left w:val="none" w:sz="0" w:space="0" w:color="auto"/>
            <w:bottom w:val="none" w:sz="0" w:space="0" w:color="auto"/>
            <w:right w:val="none" w:sz="0" w:space="0" w:color="auto"/>
          </w:divBdr>
        </w:div>
        <w:div w:id="789663234">
          <w:marLeft w:val="0"/>
          <w:marRight w:val="75"/>
          <w:marTop w:val="0"/>
          <w:marBottom w:val="0"/>
          <w:divBdr>
            <w:top w:val="none" w:sz="0" w:space="0" w:color="auto"/>
            <w:left w:val="none" w:sz="0" w:space="0" w:color="auto"/>
            <w:bottom w:val="none" w:sz="0" w:space="0" w:color="auto"/>
            <w:right w:val="none" w:sz="0" w:space="0" w:color="auto"/>
          </w:divBdr>
        </w:div>
        <w:div w:id="916866112">
          <w:marLeft w:val="0"/>
          <w:marRight w:val="75"/>
          <w:marTop w:val="0"/>
          <w:marBottom w:val="0"/>
          <w:divBdr>
            <w:top w:val="none" w:sz="0" w:space="0" w:color="auto"/>
            <w:left w:val="none" w:sz="0" w:space="0" w:color="auto"/>
            <w:bottom w:val="none" w:sz="0" w:space="0" w:color="auto"/>
            <w:right w:val="none" w:sz="0" w:space="0" w:color="auto"/>
          </w:divBdr>
        </w:div>
        <w:div w:id="1957249020">
          <w:marLeft w:val="0"/>
          <w:marRight w:val="75"/>
          <w:marTop w:val="0"/>
          <w:marBottom w:val="0"/>
          <w:divBdr>
            <w:top w:val="none" w:sz="0" w:space="0" w:color="auto"/>
            <w:left w:val="none" w:sz="0" w:space="0" w:color="auto"/>
            <w:bottom w:val="none" w:sz="0" w:space="0" w:color="auto"/>
            <w:right w:val="none" w:sz="0" w:space="0" w:color="auto"/>
          </w:divBdr>
        </w:div>
        <w:div w:id="1296914894">
          <w:marLeft w:val="0"/>
          <w:marRight w:val="75"/>
          <w:marTop w:val="0"/>
          <w:marBottom w:val="0"/>
          <w:divBdr>
            <w:top w:val="none" w:sz="0" w:space="0" w:color="auto"/>
            <w:left w:val="none" w:sz="0" w:space="0" w:color="auto"/>
            <w:bottom w:val="none" w:sz="0" w:space="0" w:color="auto"/>
            <w:right w:val="none" w:sz="0" w:space="0" w:color="auto"/>
          </w:divBdr>
        </w:div>
        <w:div w:id="1221359333">
          <w:marLeft w:val="0"/>
          <w:marRight w:val="75"/>
          <w:marTop w:val="0"/>
          <w:marBottom w:val="0"/>
          <w:divBdr>
            <w:top w:val="none" w:sz="0" w:space="0" w:color="auto"/>
            <w:left w:val="none" w:sz="0" w:space="0" w:color="auto"/>
            <w:bottom w:val="none" w:sz="0" w:space="0" w:color="auto"/>
            <w:right w:val="none" w:sz="0" w:space="0" w:color="auto"/>
          </w:divBdr>
        </w:div>
        <w:div w:id="1677879101">
          <w:marLeft w:val="0"/>
          <w:marRight w:val="75"/>
          <w:marTop w:val="0"/>
          <w:marBottom w:val="0"/>
          <w:divBdr>
            <w:top w:val="none" w:sz="0" w:space="0" w:color="auto"/>
            <w:left w:val="none" w:sz="0" w:space="0" w:color="auto"/>
            <w:bottom w:val="none" w:sz="0" w:space="0" w:color="auto"/>
            <w:right w:val="none" w:sz="0" w:space="0" w:color="auto"/>
          </w:divBdr>
        </w:div>
        <w:div w:id="1025180472">
          <w:marLeft w:val="0"/>
          <w:marRight w:val="75"/>
          <w:marTop w:val="0"/>
          <w:marBottom w:val="0"/>
          <w:divBdr>
            <w:top w:val="none" w:sz="0" w:space="0" w:color="auto"/>
            <w:left w:val="none" w:sz="0" w:space="0" w:color="auto"/>
            <w:bottom w:val="none" w:sz="0" w:space="0" w:color="auto"/>
            <w:right w:val="none" w:sz="0" w:space="0" w:color="auto"/>
          </w:divBdr>
        </w:div>
        <w:div w:id="2064863538">
          <w:marLeft w:val="0"/>
          <w:marRight w:val="75"/>
          <w:marTop w:val="0"/>
          <w:marBottom w:val="0"/>
          <w:divBdr>
            <w:top w:val="none" w:sz="0" w:space="0" w:color="auto"/>
            <w:left w:val="none" w:sz="0" w:space="0" w:color="auto"/>
            <w:bottom w:val="none" w:sz="0" w:space="0" w:color="auto"/>
            <w:right w:val="none" w:sz="0" w:space="0" w:color="auto"/>
          </w:divBdr>
        </w:div>
        <w:div w:id="437993029">
          <w:marLeft w:val="0"/>
          <w:marRight w:val="75"/>
          <w:marTop w:val="0"/>
          <w:marBottom w:val="0"/>
          <w:divBdr>
            <w:top w:val="none" w:sz="0" w:space="0" w:color="auto"/>
            <w:left w:val="none" w:sz="0" w:space="0" w:color="auto"/>
            <w:bottom w:val="none" w:sz="0" w:space="0" w:color="auto"/>
            <w:right w:val="none" w:sz="0" w:space="0" w:color="auto"/>
          </w:divBdr>
        </w:div>
        <w:div w:id="1958291837">
          <w:marLeft w:val="0"/>
          <w:marRight w:val="75"/>
          <w:marTop w:val="0"/>
          <w:marBottom w:val="0"/>
          <w:divBdr>
            <w:top w:val="none" w:sz="0" w:space="0" w:color="auto"/>
            <w:left w:val="none" w:sz="0" w:space="0" w:color="auto"/>
            <w:bottom w:val="none" w:sz="0" w:space="0" w:color="auto"/>
            <w:right w:val="none" w:sz="0" w:space="0" w:color="auto"/>
          </w:divBdr>
        </w:div>
        <w:div w:id="861020414">
          <w:marLeft w:val="0"/>
          <w:marRight w:val="75"/>
          <w:marTop w:val="0"/>
          <w:marBottom w:val="0"/>
          <w:divBdr>
            <w:top w:val="none" w:sz="0" w:space="0" w:color="auto"/>
            <w:left w:val="none" w:sz="0" w:space="0" w:color="auto"/>
            <w:bottom w:val="none" w:sz="0" w:space="0" w:color="auto"/>
            <w:right w:val="none" w:sz="0" w:space="0" w:color="auto"/>
          </w:divBdr>
        </w:div>
        <w:div w:id="1389648701">
          <w:marLeft w:val="0"/>
          <w:marRight w:val="75"/>
          <w:marTop w:val="0"/>
          <w:marBottom w:val="0"/>
          <w:divBdr>
            <w:top w:val="none" w:sz="0" w:space="0" w:color="auto"/>
            <w:left w:val="none" w:sz="0" w:space="0" w:color="auto"/>
            <w:bottom w:val="none" w:sz="0" w:space="0" w:color="auto"/>
            <w:right w:val="none" w:sz="0" w:space="0" w:color="auto"/>
          </w:divBdr>
        </w:div>
        <w:div w:id="1642614054">
          <w:marLeft w:val="0"/>
          <w:marRight w:val="75"/>
          <w:marTop w:val="0"/>
          <w:marBottom w:val="0"/>
          <w:divBdr>
            <w:top w:val="none" w:sz="0" w:space="0" w:color="auto"/>
            <w:left w:val="none" w:sz="0" w:space="0" w:color="auto"/>
            <w:bottom w:val="none" w:sz="0" w:space="0" w:color="auto"/>
            <w:right w:val="none" w:sz="0" w:space="0" w:color="auto"/>
          </w:divBdr>
        </w:div>
        <w:div w:id="1460341279">
          <w:marLeft w:val="0"/>
          <w:marRight w:val="75"/>
          <w:marTop w:val="0"/>
          <w:marBottom w:val="0"/>
          <w:divBdr>
            <w:top w:val="none" w:sz="0" w:space="0" w:color="auto"/>
            <w:left w:val="none" w:sz="0" w:space="0" w:color="auto"/>
            <w:bottom w:val="none" w:sz="0" w:space="0" w:color="auto"/>
            <w:right w:val="none" w:sz="0" w:space="0" w:color="auto"/>
          </w:divBdr>
        </w:div>
        <w:div w:id="1270047338">
          <w:marLeft w:val="0"/>
          <w:marRight w:val="75"/>
          <w:marTop w:val="0"/>
          <w:marBottom w:val="0"/>
          <w:divBdr>
            <w:top w:val="none" w:sz="0" w:space="0" w:color="auto"/>
            <w:left w:val="none" w:sz="0" w:space="0" w:color="auto"/>
            <w:bottom w:val="none" w:sz="0" w:space="0" w:color="auto"/>
            <w:right w:val="none" w:sz="0" w:space="0" w:color="auto"/>
          </w:divBdr>
        </w:div>
        <w:div w:id="395320692">
          <w:marLeft w:val="0"/>
          <w:marRight w:val="75"/>
          <w:marTop w:val="0"/>
          <w:marBottom w:val="0"/>
          <w:divBdr>
            <w:top w:val="none" w:sz="0" w:space="0" w:color="auto"/>
            <w:left w:val="none" w:sz="0" w:space="0" w:color="auto"/>
            <w:bottom w:val="none" w:sz="0" w:space="0" w:color="auto"/>
            <w:right w:val="none" w:sz="0" w:space="0" w:color="auto"/>
          </w:divBdr>
        </w:div>
        <w:div w:id="2108424568">
          <w:marLeft w:val="0"/>
          <w:marRight w:val="75"/>
          <w:marTop w:val="0"/>
          <w:marBottom w:val="0"/>
          <w:divBdr>
            <w:top w:val="none" w:sz="0" w:space="0" w:color="auto"/>
            <w:left w:val="none" w:sz="0" w:space="0" w:color="auto"/>
            <w:bottom w:val="none" w:sz="0" w:space="0" w:color="auto"/>
            <w:right w:val="none" w:sz="0" w:space="0" w:color="auto"/>
          </w:divBdr>
        </w:div>
        <w:div w:id="1320571671">
          <w:marLeft w:val="0"/>
          <w:marRight w:val="75"/>
          <w:marTop w:val="0"/>
          <w:marBottom w:val="0"/>
          <w:divBdr>
            <w:top w:val="none" w:sz="0" w:space="0" w:color="auto"/>
            <w:left w:val="none" w:sz="0" w:space="0" w:color="auto"/>
            <w:bottom w:val="none" w:sz="0" w:space="0" w:color="auto"/>
            <w:right w:val="none" w:sz="0" w:space="0" w:color="auto"/>
          </w:divBdr>
        </w:div>
        <w:div w:id="1292588848">
          <w:marLeft w:val="0"/>
          <w:marRight w:val="75"/>
          <w:marTop w:val="0"/>
          <w:marBottom w:val="0"/>
          <w:divBdr>
            <w:top w:val="none" w:sz="0" w:space="0" w:color="auto"/>
            <w:left w:val="none" w:sz="0" w:space="0" w:color="auto"/>
            <w:bottom w:val="none" w:sz="0" w:space="0" w:color="auto"/>
            <w:right w:val="none" w:sz="0" w:space="0" w:color="auto"/>
          </w:divBdr>
        </w:div>
        <w:div w:id="1784033928">
          <w:marLeft w:val="0"/>
          <w:marRight w:val="75"/>
          <w:marTop w:val="0"/>
          <w:marBottom w:val="0"/>
          <w:divBdr>
            <w:top w:val="none" w:sz="0" w:space="0" w:color="auto"/>
            <w:left w:val="none" w:sz="0" w:space="0" w:color="auto"/>
            <w:bottom w:val="none" w:sz="0" w:space="0" w:color="auto"/>
            <w:right w:val="none" w:sz="0" w:space="0" w:color="auto"/>
          </w:divBdr>
        </w:div>
      </w:divsChild>
    </w:div>
    <w:div w:id="17832646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C143F-695C-0D43-8460-EFA9E8FBB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4</Pages>
  <Words>1206</Words>
  <Characters>7502</Characters>
  <Application>Microsoft Macintosh Word</Application>
  <DocSecurity>0</DocSecurity>
  <Lines>121</Lines>
  <Paragraphs>25</Paragraphs>
  <ScaleCrop>false</ScaleCrop>
  <Company/>
  <LinksUpToDate>false</LinksUpToDate>
  <CharactersWithSpaces>8683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cp:lastModifiedBy>
  <cp:revision>64</cp:revision>
  <dcterms:created xsi:type="dcterms:W3CDTF">2020-12-20T21:59:00Z</dcterms:created>
  <dcterms:modified xsi:type="dcterms:W3CDTF">2021-04-27T11:05:00Z</dcterms:modified>
</cp:coreProperties>
</file>